
<file path=[Content_Types].xml><?xml version="1.0" encoding="utf-8"?>
<Types xmlns="http://schemas.openxmlformats.org/package/2006/content-types">
  <Default Extension="wmf" ContentType="image/x-wmf"/>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5" Type="http://schemas.openxmlformats.org/officeDocument/2006/relationships/officeDocument" Target="word/document.xml"/><Relationship Id="rId1" Type="http://schemas.openxmlformats.org/package/2006/relationships/metadata/thumbnail" Target="docProps/thumbnail.wmf"/><Relationship Id="rId3" Type="http://schemas.openxmlformats.org/package/2006/relationships/metadata/core-properties" Target="docProps/core.xml"/><Relationship Id="rId2" Type="http://schemas.openxmlformats.org/officeDocument/2006/relationships/extended-properties" Target="docProps/app.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B438BFE">
      <w:pPr>
        <w:spacing w:line="560" w:lineRule="exact"/>
        <w:jc w:val="center"/>
        <w:rPr>
          <w:rFonts w:ascii="方正小标宋_GBK" w:hAnsi="仿宋" w:eastAsia="方正小标宋_GBK"/>
          <w:color w:val="000000" w:themeColor="text1"/>
          <w:sz w:val="44"/>
          <w:szCs w:val="44"/>
        </w:rPr>
      </w:pPr>
    </w:p>
    <w:p w14:paraId="4730C9C0">
      <w:pPr>
        <w:spacing w:line="560" w:lineRule="exact"/>
        <w:jc w:val="center"/>
        <w:rPr>
          <w:rFonts w:ascii="方正小标宋_GBK" w:hAnsi="仿宋" w:eastAsia="方正小标宋_GBK"/>
          <w:color w:val="000000" w:themeColor="text1"/>
          <w:sz w:val="44"/>
          <w:szCs w:val="44"/>
        </w:rPr>
      </w:pPr>
      <w:r>
        <w:rPr>
          <w:rFonts w:hint="eastAsia" w:ascii="方正小标宋_GBK" w:hAnsi="仿宋" w:eastAsia="方正小标宋_GBK"/>
          <w:color w:val="000000" w:themeColor="text1"/>
          <w:sz w:val="44"/>
          <w:szCs w:val="44"/>
        </w:rPr>
        <w:t>文化和旅游行业冬春火灾防控工作方案</w:t>
      </w:r>
    </w:p>
    <w:p w14:paraId="63BCB8D9">
      <w:pPr>
        <w:spacing w:line="560" w:lineRule="exact"/>
        <w:rPr>
          <w:rFonts w:ascii="仿宋" w:hAnsi="仿宋" w:eastAsia="仿宋"/>
          <w:color w:val="000000" w:themeColor="text1"/>
          <w:sz w:val="32"/>
          <w:szCs w:val="32"/>
        </w:rPr>
      </w:pPr>
      <w:r>
        <w:rPr>
          <w:rFonts w:hint="eastAsia" w:ascii="仿宋" w:hAnsi="仿宋" w:eastAsia="仿宋"/>
          <w:color w:val="000000" w:themeColor="text1"/>
          <w:sz w:val="32"/>
          <w:szCs w:val="32"/>
        </w:rPr>
        <w:t xml:space="preserve">   </w:t>
      </w:r>
    </w:p>
    <w:p w14:paraId="0EC5858E">
      <w:pPr>
        <w:overflowPunct w:val="0"/>
        <w:spacing w:line="560" w:lineRule="exact"/>
        <w:rPr>
          <w:rFonts w:ascii="仿宋" w:hAnsi="仿宋" w:eastAsia="仿宋"/>
          <w:color w:val="000000" w:themeColor="text1"/>
          <w:sz w:val="32"/>
          <w:szCs w:val="32"/>
        </w:rPr>
      </w:pPr>
      <w:r>
        <w:rPr>
          <w:rFonts w:hint="eastAsia" w:ascii="仿宋" w:hAnsi="仿宋" w:eastAsia="仿宋"/>
          <w:color w:val="000000" w:themeColor="text1"/>
          <w:sz w:val="32"/>
          <w:szCs w:val="32"/>
        </w:rPr>
        <w:t xml:space="preserve">    冬春季节传统节日、大型群众性活动集中，用火用电量大，历来是火灾多发高发期。当前，受重大活动后放松期、年底业绩冲刺期、传统事故多发期“三期碰头”叠加影响，不确定性因素增多，消防安全形势严峻复杂。为进一步压紧压实消防安全责任，细化实化火灾防范措施，根据省消防安全委员会办公室通知要求，从即日起至2023年3月，在全省文化和旅游行业集中开展冬春火灾防控工作。制定工作方案如下。</w:t>
      </w:r>
    </w:p>
    <w:p w14:paraId="01A6A320">
      <w:pPr>
        <w:overflowPunct w:val="0"/>
        <w:spacing w:line="560" w:lineRule="exact"/>
        <w:rPr>
          <w:rFonts w:ascii="黑体" w:hAnsi="黑体" w:eastAsia="黑体"/>
          <w:color w:val="000000" w:themeColor="text1"/>
          <w:sz w:val="32"/>
          <w:szCs w:val="32"/>
        </w:rPr>
      </w:pPr>
      <w:r>
        <w:rPr>
          <w:rFonts w:hint="eastAsia" w:ascii="黑体" w:hAnsi="黑体" w:eastAsia="黑体"/>
          <w:color w:val="000000" w:themeColor="text1"/>
          <w:sz w:val="32"/>
          <w:szCs w:val="32"/>
        </w:rPr>
        <w:t xml:space="preserve">    一、工作目标</w:t>
      </w:r>
    </w:p>
    <w:p w14:paraId="2CF25E8A">
      <w:pPr>
        <w:overflowPunct w:val="0"/>
        <w:spacing w:line="560" w:lineRule="exact"/>
        <w:rPr>
          <w:rFonts w:ascii="仿宋" w:hAnsi="仿宋" w:eastAsia="仿宋"/>
          <w:color w:val="000000" w:themeColor="text1"/>
          <w:sz w:val="32"/>
          <w:szCs w:val="32"/>
        </w:rPr>
      </w:pPr>
      <w:r>
        <w:rPr>
          <w:rFonts w:hint="eastAsia" w:ascii="仿宋" w:hAnsi="仿宋" w:eastAsia="仿宋"/>
          <w:color w:val="000000" w:themeColor="text1"/>
          <w:sz w:val="32"/>
          <w:szCs w:val="32"/>
        </w:rPr>
        <w:t xml:space="preserve">    认真贯彻落实党的二十大精神和习近平总书记关于安全生产和消防安全的重要指示精神，坚持人民至上、生命至上，统筹发展和安全，按照“防住重特大、盯住小而险、紧跟新情况、消除空白点”的工作思路，围绕全国、全省“两会”、国家公祭仪式等重大活动和元旦、春节、元宵节等重要节点，聚焦重点领域、重要场所和薄弱区域，分类施策，精准防范，综合治理，有效防范化解重大安全风险，有效防止火灾事故，坚决杜绝重特大火灾事故，积极营造安全有序的文化和旅游市场环境，以新安全格局保障新发展格局。</w:t>
      </w:r>
    </w:p>
    <w:p w14:paraId="66B457CA">
      <w:pPr>
        <w:overflowPunct w:val="0"/>
        <w:spacing w:line="560" w:lineRule="exact"/>
        <w:rPr>
          <w:rFonts w:ascii="黑体" w:hAnsi="黑体" w:eastAsia="黑体"/>
          <w:color w:val="000000" w:themeColor="text1"/>
          <w:sz w:val="32"/>
          <w:szCs w:val="32"/>
        </w:rPr>
      </w:pPr>
      <w:r>
        <w:rPr>
          <w:rFonts w:hint="eastAsia" w:ascii="黑体" w:hAnsi="黑体" w:eastAsia="黑体"/>
          <w:color w:val="000000" w:themeColor="text1"/>
          <w:sz w:val="32"/>
          <w:szCs w:val="32"/>
        </w:rPr>
        <w:t xml:space="preserve">    二、重点任务</w:t>
      </w:r>
    </w:p>
    <w:p w14:paraId="2F917FC0">
      <w:pPr>
        <w:overflowPunct w:val="0"/>
        <w:spacing w:line="560" w:lineRule="exact"/>
        <w:rPr>
          <w:rFonts w:ascii="华文楷体" w:hAnsi="华文楷体" w:eastAsia="华文楷体"/>
          <w:color w:val="000000" w:themeColor="text1"/>
          <w:sz w:val="32"/>
          <w:szCs w:val="32"/>
        </w:rPr>
      </w:pPr>
      <w:r>
        <w:rPr>
          <w:rFonts w:hint="eastAsia" w:ascii="华文楷体" w:hAnsi="华文楷体" w:eastAsia="华文楷体"/>
          <w:color w:val="000000" w:themeColor="text1"/>
          <w:sz w:val="32"/>
          <w:szCs w:val="32"/>
        </w:rPr>
        <w:t xml:space="preserve">    (一)坚决防止高风险场所发生群死群伤火灾事故。</w:t>
      </w:r>
    </w:p>
    <w:p w14:paraId="5FEF4F8A">
      <w:pPr>
        <w:overflowPunct w:val="0"/>
        <w:spacing w:line="560" w:lineRule="exact"/>
        <w:rPr>
          <w:rFonts w:ascii="仿宋" w:hAnsi="仿宋" w:eastAsia="仿宋"/>
          <w:color w:val="000000" w:themeColor="text1"/>
          <w:sz w:val="32"/>
          <w:szCs w:val="32"/>
        </w:rPr>
      </w:pPr>
      <w:r>
        <w:rPr>
          <w:rFonts w:hint="eastAsia" w:ascii="华文楷体" w:hAnsi="华文楷体" w:eastAsia="华文楷体"/>
          <w:color w:val="000000" w:themeColor="text1"/>
          <w:sz w:val="32"/>
          <w:szCs w:val="32"/>
        </w:rPr>
        <w:t xml:space="preserve">    1.推进商场市场和大型商业综合体消防安全专项整治。</w:t>
      </w:r>
      <w:r>
        <w:rPr>
          <w:rFonts w:hint="eastAsia" w:ascii="仿宋" w:hAnsi="仿宋" w:eastAsia="仿宋"/>
          <w:color w:val="000000" w:themeColor="text1"/>
          <w:sz w:val="32"/>
          <w:szCs w:val="32"/>
        </w:rPr>
        <w:t>按照省安委办、消委办《关于印发商场市场和大型商业综合体消防安全专项整治工作方案的通知》（苏安办〔2022〕32号）既定部署，文旅行政部门根据职责分工，对照10类重点整治情形和5项整治措施，全面排查整治商场市场和大型商业综合体文旅经营场所消防安全问题，建立台账、列出清单、逐项整改。对排查出的隐患问题，严格依法处理，实行闭环管理。文旅经营场所要积极配合做好大型商业综合体消防安全标难化管理达标创建工作。</w:t>
      </w:r>
    </w:p>
    <w:p w14:paraId="472DCAB6">
      <w:pPr>
        <w:overflowPunct w:val="0"/>
        <w:spacing w:line="560" w:lineRule="exact"/>
        <w:rPr>
          <w:rFonts w:ascii="仿宋" w:hAnsi="仿宋" w:eastAsia="仿宋"/>
          <w:color w:val="000000" w:themeColor="text1"/>
          <w:sz w:val="32"/>
          <w:szCs w:val="32"/>
        </w:rPr>
      </w:pPr>
      <w:r>
        <w:rPr>
          <w:rFonts w:hint="eastAsia" w:ascii="华文楷体" w:hAnsi="华文楷体" w:eastAsia="华文楷体"/>
          <w:color w:val="000000" w:themeColor="text1"/>
          <w:sz w:val="32"/>
          <w:szCs w:val="32"/>
        </w:rPr>
        <w:t xml:space="preserve">    2.推进高层建筑重大火灾风险专项整治。</w:t>
      </w:r>
      <w:r>
        <w:rPr>
          <w:rFonts w:hint="eastAsia" w:ascii="仿宋" w:hAnsi="仿宋" w:eastAsia="仿宋"/>
          <w:color w:val="000000" w:themeColor="text1"/>
          <w:sz w:val="32"/>
          <w:szCs w:val="32"/>
        </w:rPr>
        <w:t>按照省消委办《江苏省高层建筑重大火灾风险专项整治工作方案》（苏消委办〔2022)27号)既定部署，各级文化和旅游行政部门依据行业监管职责，针对老旧高层星级饭店、超高层建筑、高层公共建筑等4类重点对象中涉及的文旅场所，对照9条共性、11条个性突出风险，组织开展高层建筑火灾隐患排查整治，建立问题隐患和整改责任“两个清单”，挂账整改、照单销号。督促高层建筑管理（使用)单位认真贯彻落实《高层民用建筑消防安全管理规定》《江苏省住宅物业消防安全管理规定》，强化日常消防安全管理。</w:t>
      </w:r>
    </w:p>
    <w:p w14:paraId="618F5819">
      <w:pPr>
        <w:overflowPunct w:val="0"/>
        <w:spacing w:line="560" w:lineRule="exact"/>
        <w:rPr>
          <w:rFonts w:ascii="仿宋" w:hAnsi="仿宋" w:eastAsia="仿宋"/>
          <w:color w:val="000000" w:themeColor="text1"/>
          <w:sz w:val="32"/>
          <w:szCs w:val="32"/>
        </w:rPr>
      </w:pPr>
      <w:r>
        <w:rPr>
          <w:rFonts w:hint="eastAsia" w:ascii="华文楷体" w:hAnsi="华文楷体" w:eastAsia="华文楷体"/>
          <w:color w:val="000000" w:themeColor="text1"/>
          <w:sz w:val="32"/>
          <w:szCs w:val="32"/>
        </w:rPr>
        <w:t xml:space="preserve">    3.加强人员密集场所消防安全检查。</w:t>
      </w:r>
      <w:r>
        <w:rPr>
          <w:rFonts w:hint="eastAsia" w:ascii="仿宋" w:hAnsi="仿宋" w:eastAsia="仿宋"/>
          <w:color w:val="000000" w:themeColor="text1"/>
          <w:sz w:val="32"/>
          <w:szCs w:val="32"/>
        </w:rPr>
        <w:t>各级文旅行政部门联合公安、应急管理、消防救援等部门，结合冬季文化和旅游行业安全生产专项治理行动工作部署，按照职责分工，组织开展旅游星级饭店、等级旅游民宿、娱乐和营业性演出场所、文博单位、直属单位及文化艺术类非学科类校外培训机构等人员密集场所消防安全检查，重点整治违规用火用电用气用油、占堵疏散通道、停用消防设施以及员工消防意识淡薄等隐患问题，提高火灾防控能力。督促文旅企事业单位落实消防安全主体责任，认真宣贯即将出台的地方标准《单位消防安全管理规范》，有效提升单位消防安全自主管理水平。</w:t>
      </w:r>
    </w:p>
    <w:p w14:paraId="395F8DA9">
      <w:pPr>
        <w:overflowPunct w:val="0"/>
        <w:spacing w:line="560" w:lineRule="exact"/>
        <w:rPr>
          <w:rFonts w:ascii="仿宋" w:hAnsi="仿宋" w:eastAsia="仿宋"/>
          <w:color w:val="000000" w:themeColor="text1"/>
          <w:sz w:val="32"/>
          <w:szCs w:val="32"/>
        </w:rPr>
      </w:pPr>
      <w:r>
        <w:rPr>
          <w:rFonts w:hint="eastAsia" w:ascii="仿宋" w:hAnsi="仿宋" w:eastAsia="仿宋"/>
          <w:color w:val="000000" w:themeColor="text1"/>
          <w:sz w:val="32"/>
          <w:szCs w:val="32"/>
        </w:rPr>
        <w:t xml:space="preserve">    </w:t>
      </w:r>
      <w:r>
        <w:rPr>
          <w:rFonts w:hint="eastAsia" w:ascii="华文楷体" w:hAnsi="华文楷体" w:eastAsia="华文楷体"/>
          <w:color w:val="000000" w:themeColor="text1"/>
          <w:sz w:val="32"/>
          <w:szCs w:val="32"/>
        </w:rPr>
        <w:t>(二)全力防止敏感场所发生有影响火灾事故。</w:t>
      </w:r>
    </w:p>
    <w:p w14:paraId="172E589B">
      <w:pPr>
        <w:overflowPunct w:val="0"/>
        <w:spacing w:line="560" w:lineRule="exact"/>
        <w:rPr>
          <w:rFonts w:ascii="仿宋" w:hAnsi="仿宋" w:eastAsia="仿宋"/>
          <w:color w:val="000000" w:themeColor="text1"/>
          <w:sz w:val="32"/>
          <w:szCs w:val="32"/>
        </w:rPr>
      </w:pPr>
      <w:r>
        <w:rPr>
          <w:rFonts w:hint="eastAsia" w:ascii="华文楷体" w:hAnsi="华文楷体" w:eastAsia="华文楷体"/>
          <w:color w:val="000000" w:themeColor="text1"/>
          <w:sz w:val="32"/>
          <w:szCs w:val="32"/>
        </w:rPr>
        <w:t xml:space="preserve">    1.深化文博单位消防安全检查。</w:t>
      </w:r>
      <w:r>
        <w:rPr>
          <w:rFonts w:hint="eastAsia" w:ascii="仿宋" w:hAnsi="仿宋" w:eastAsia="仿宋"/>
          <w:color w:val="000000" w:themeColor="text1"/>
          <w:sz w:val="32"/>
          <w:szCs w:val="32"/>
        </w:rPr>
        <w:t>联合消防救援等部门，组织开展文物建筑、博物馆消防安全专项检查“回头看”，重点整治用火用电用气用油、施工改造、违章搭建、储存使用易燃易爆危险品、值班值守等方面风险隐患。指导单位对照文物建筑和博物馆火灾风险指南及检查指引，加强火灾隐患自查自改，结合文物修缮、设施改造同步更新火灾自动报警、自动灭火、电气火灾监控等技防设备。定期组织开展集中提醒、培训警示和应急演练，建立健全评估预警、定期会商、联合执法等工作机制。</w:t>
      </w:r>
    </w:p>
    <w:p w14:paraId="7B85A77E">
      <w:pPr>
        <w:overflowPunct w:val="0"/>
        <w:spacing w:line="560" w:lineRule="exact"/>
        <w:rPr>
          <w:rFonts w:ascii="仿宋" w:hAnsi="仿宋" w:eastAsia="仿宋"/>
          <w:color w:val="000000" w:themeColor="text1"/>
          <w:sz w:val="32"/>
          <w:szCs w:val="32"/>
        </w:rPr>
      </w:pPr>
      <w:r>
        <w:rPr>
          <w:rFonts w:hint="eastAsia" w:ascii="仿宋" w:hAnsi="仿宋" w:eastAsia="仿宋"/>
          <w:color w:val="000000" w:themeColor="text1"/>
          <w:sz w:val="32"/>
          <w:szCs w:val="32"/>
        </w:rPr>
        <w:t xml:space="preserve">    </w:t>
      </w:r>
      <w:r>
        <w:rPr>
          <w:rFonts w:hint="eastAsia" w:ascii="华文楷体" w:hAnsi="华文楷体" w:eastAsia="华文楷体"/>
          <w:color w:val="000000" w:themeColor="text1"/>
          <w:sz w:val="32"/>
          <w:szCs w:val="32"/>
        </w:rPr>
        <w:t>2.加强各级文化和旅游行政部门机关单位火灾防范。</w:t>
      </w:r>
      <w:r>
        <w:rPr>
          <w:rFonts w:hint="eastAsia" w:ascii="仿宋" w:hAnsi="仿宋" w:eastAsia="仿宋"/>
          <w:color w:val="000000" w:themeColor="text1"/>
          <w:sz w:val="32"/>
          <w:szCs w:val="32"/>
        </w:rPr>
        <w:t>配合机关事务管理部门督促办公用房使用单位认真梳理机关本级及所有下属单位基本情况，参照《省级党政机关办公用房消防安全责任清单》（苏事管房〔2020〕87号)，全面排查消防安全隐患。通过组织交叉互查、吸纳地方专家及消防技术服务机构专业人员协同参与检查等方式，提升检查质效。协调当地消防救援机构提供消防安全指导服务，对发现的火灾隐患，实施清单管理，实时跟踪督改，确保对账销号。</w:t>
      </w:r>
    </w:p>
    <w:p w14:paraId="1E822481">
      <w:pPr>
        <w:overflowPunct w:val="0"/>
        <w:spacing w:line="560" w:lineRule="exact"/>
        <w:rPr>
          <w:rFonts w:ascii="仿宋" w:hAnsi="仿宋" w:eastAsia="仿宋"/>
          <w:color w:val="000000" w:themeColor="text1"/>
          <w:sz w:val="32"/>
          <w:szCs w:val="32"/>
        </w:rPr>
      </w:pPr>
      <w:r>
        <w:rPr>
          <w:rFonts w:hint="eastAsia" w:ascii="仿宋" w:hAnsi="仿宋" w:eastAsia="仿宋"/>
          <w:color w:val="000000" w:themeColor="text1"/>
          <w:sz w:val="32"/>
          <w:szCs w:val="32"/>
        </w:rPr>
        <w:t xml:space="preserve">    </w:t>
      </w:r>
      <w:r>
        <w:rPr>
          <w:rFonts w:hint="eastAsia" w:ascii="华文楷体" w:hAnsi="华文楷体" w:eastAsia="华文楷体"/>
          <w:color w:val="000000" w:themeColor="text1"/>
          <w:sz w:val="32"/>
          <w:szCs w:val="32"/>
        </w:rPr>
        <w:t>3.防范新业态新领域消防风险。</w:t>
      </w:r>
      <w:r>
        <w:rPr>
          <w:rFonts w:hint="eastAsia" w:ascii="仿宋" w:hAnsi="仿宋" w:eastAsia="仿宋"/>
          <w:color w:val="000000" w:themeColor="text1"/>
          <w:sz w:val="32"/>
          <w:szCs w:val="32"/>
        </w:rPr>
        <w:t xml:space="preserve">对照《关于加强剧本娱乐经营场所管理的通知》（苏文旅发〔2022〕96号）要求，深化“密室逃脱“剧本杀”等剧本娱乐经营场所火灾风险隐患排查，严查用火用电、易燃可燃装修装饰、防火分隔、安全疏散、应急通讯等方面突出问题，强化源头管控，提升本质安全水平。加强室内冰雪活动场所检查和安全评估，对违规使用聚氨酯保温材料、违规敷设电气线路的，坚决予以拆除、更换，严防“带险运营”。       </w:t>
      </w:r>
    </w:p>
    <w:p w14:paraId="0FE83BBF">
      <w:pPr>
        <w:overflowPunct w:val="0"/>
        <w:spacing w:line="560" w:lineRule="exact"/>
        <w:rPr>
          <w:rFonts w:ascii="华文楷体" w:hAnsi="华文楷体" w:eastAsia="华文楷体"/>
          <w:color w:val="000000" w:themeColor="text1"/>
          <w:sz w:val="32"/>
          <w:szCs w:val="32"/>
        </w:rPr>
      </w:pPr>
      <w:r>
        <w:rPr>
          <w:rFonts w:hint="eastAsia" w:ascii="仿宋" w:hAnsi="仿宋" w:eastAsia="仿宋"/>
          <w:color w:val="000000" w:themeColor="text1"/>
          <w:sz w:val="32"/>
          <w:szCs w:val="32"/>
        </w:rPr>
        <w:t xml:space="preserve">    </w:t>
      </w:r>
      <w:r>
        <w:rPr>
          <w:rFonts w:hint="eastAsia" w:ascii="华文楷体" w:hAnsi="华文楷体" w:eastAsia="华文楷体"/>
          <w:color w:val="000000" w:themeColor="text1"/>
          <w:sz w:val="32"/>
          <w:szCs w:val="32"/>
        </w:rPr>
        <w:t>(三)紧盯重点环节消防安全风险管控。</w:t>
      </w:r>
    </w:p>
    <w:p w14:paraId="2680DEFF">
      <w:pPr>
        <w:overflowPunct w:val="0"/>
        <w:spacing w:line="560" w:lineRule="exact"/>
        <w:rPr>
          <w:rFonts w:ascii="仿宋" w:hAnsi="仿宋" w:eastAsia="仿宋"/>
          <w:color w:val="000000" w:themeColor="text1"/>
          <w:sz w:val="32"/>
          <w:szCs w:val="32"/>
        </w:rPr>
      </w:pPr>
      <w:r>
        <w:rPr>
          <w:rFonts w:hint="eastAsia" w:ascii="华文楷体" w:hAnsi="华文楷体" w:eastAsia="华文楷体"/>
          <w:color w:val="000000" w:themeColor="text1"/>
          <w:sz w:val="32"/>
          <w:szCs w:val="32"/>
        </w:rPr>
        <w:t xml:space="preserve">    1.持续深化畅通消防“生命通道”专项治理。</w:t>
      </w:r>
      <w:r>
        <w:rPr>
          <w:rFonts w:hint="eastAsia" w:ascii="仿宋" w:hAnsi="仿宋" w:eastAsia="仿宋"/>
          <w:color w:val="000000" w:themeColor="text1"/>
          <w:sz w:val="32"/>
          <w:szCs w:val="32"/>
        </w:rPr>
        <w:t>聚焦文旅行业系统建筑内、外消防安全“生命通道”，持续深化专项治理，确保人员安全疏散逃生、应急救援通道畅通。紧盯星级饭店、密室逃脱、剧本杀等经营场所，外窗安装防盗网和广告牌匾等影响疏散逃生的问题，提请地方政府开展集中整治，坚决予以清理拆除。依法查处大型商业综合体中“密室逃脱”、互联网上网服务、营业性演出场所等人员密集场所疏散通道被堵塞占用、安全出口被封堵锁闭等违法行为。配合公安、住建、消防救援等部门集中治理用于文化和旅游经营的高层建筑消防车通道被私家车停放占用、设置障碍物等行为，开展联合执法、实施综合监管，确保消防车通道畅通。任何单位或个人不得以任何需要为由，擅自封闭或堵塞安全出口、隔断疏散通道，占用消防车通道。</w:t>
      </w:r>
    </w:p>
    <w:p w14:paraId="3BB8F9C9">
      <w:pPr>
        <w:overflowPunct w:val="0"/>
        <w:spacing w:line="560" w:lineRule="exact"/>
        <w:rPr>
          <w:rFonts w:ascii="仿宋" w:hAnsi="仿宋" w:eastAsia="仿宋"/>
          <w:color w:val="000000" w:themeColor="text1"/>
          <w:sz w:val="32"/>
          <w:szCs w:val="32"/>
        </w:rPr>
      </w:pPr>
      <w:r>
        <w:rPr>
          <w:rFonts w:hint="eastAsia" w:ascii="华文楷体" w:hAnsi="华文楷体" w:eastAsia="华文楷体"/>
          <w:color w:val="000000" w:themeColor="text1"/>
          <w:sz w:val="32"/>
          <w:szCs w:val="32"/>
        </w:rPr>
        <w:t xml:space="preserve">     2.严格电源火源管理和易燃可燃物品清理。</w:t>
      </w:r>
      <w:r>
        <w:rPr>
          <w:rFonts w:hint="eastAsia" w:ascii="仿宋" w:hAnsi="仿宋" w:eastAsia="仿宋"/>
          <w:color w:val="000000" w:themeColor="text1"/>
          <w:sz w:val="32"/>
          <w:szCs w:val="32"/>
        </w:rPr>
        <w:t>配合各地住建、应急管理以及消防救援等部门，重点关注文旅各类场所使用燃煤、燃气和电热等方式取暖，以及文旅行业单位（直属单位）建筑施工工地不安全用火等风险，靶向纠治私拉乱接电器线路、违规使用醇基燃料和燃气灶具、油烟管道清洗不及时不彻底、违规动火动焊等问题，降低起火风险。持续整治娱乐场所、“密室逃脱”等人员密集场所违规使用塑料仿真绿植等易燃装饰隐患问题，依法采取查封、关停等强制措施。督促指导直属管理单位加强老旧小区隐患排查，组织清理公共区域易燃可燃物品，规范电动自行车停放，严禁进楼入室充电。发动群众开展“三清三关”(清理楼道、阳台、厨房可燃杂物，离人关闭电源、火源、气源)，有效预防和减少火灾发生。</w:t>
      </w:r>
    </w:p>
    <w:p w14:paraId="6D796ADE">
      <w:pPr>
        <w:overflowPunct w:val="0"/>
        <w:spacing w:line="560" w:lineRule="exact"/>
        <w:rPr>
          <w:rFonts w:ascii="仿宋" w:hAnsi="仿宋" w:eastAsia="仿宋"/>
          <w:color w:val="000000" w:themeColor="text1"/>
          <w:sz w:val="32"/>
          <w:szCs w:val="32"/>
        </w:rPr>
      </w:pPr>
      <w:r>
        <w:rPr>
          <w:rFonts w:hint="eastAsia" w:ascii="华文楷体" w:hAnsi="华文楷体" w:eastAsia="华文楷体"/>
          <w:color w:val="000000" w:themeColor="text1"/>
          <w:sz w:val="32"/>
          <w:szCs w:val="32"/>
        </w:rPr>
        <w:t xml:space="preserve">    3.加强消防设施维保和微型消防站建设。</w:t>
      </w:r>
      <w:r>
        <w:rPr>
          <w:rFonts w:hint="eastAsia" w:ascii="仿宋" w:hAnsi="仿宋" w:eastAsia="仿宋"/>
          <w:color w:val="000000" w:themeColor="text1"/>
          <w:sz w:val="32"/>
          <w:szCs w:val="32"/>
        </w:rPr>
        <w:t>组织开展消防设施专项检查，全面开展“四个一次”活动（启一次泵、放一次水、按一次按纽、测一次风压)，建立问题隐患清单和整改责任“两个”清单，督促单位加快整改进度、加强日常维护保养；督促所属文旅行业系统单位加强微型消防站建设，配齐配强装备、器材和人员，严格实行消防控制室每日24小时专人值班制度，每班不少于2人并持证上岗；加强消防培训、日常训练和拉动演练，做到微型消防站队员熟练掌握接报火穴报警信号后的应急处置程序，有效提升单位初起火灾扑救能力。</w:t>
      </w:r>
    </w:p>
    <w:p w14:paraId="7F6728AB">
      <w:pPr>
        <w:overflowPunct w:val="0"/>
        <w:spacing w:line="560" w:lineRule="exact"/>
        <w:rPr>
          <w:rFonts w:ascii="华文楷体" w:hAnsi="华文楷体" w:eastAsia="华文楷体"/>
          <w:color w:val="000000" w:themeColor="text1"/>
          <w:sz w:val="32"/>
          <w:szCs w:val="32"/>
        </w:rPr>
      </w:pPr>
      <w:r>
        <w:rPr>
          <w:rFonts w:hint="eastAsia" w:ascii="华文楷体" w:hAnsi="华文楷体" w:eastAsia="华文楷体"/>
          <w:color w:val="000000" w:themeColor="text1"/>
          <w:sz w:val="32"/>
          <w:szCs w:val="32"/>
        </w:rPr>
        <w:t xml:space="preserve">    (四)全力做好各类灾害事故应急救援准备。</w:t>
      </w:r>
    </w:p>
    <w:p w14:paraId="3B24C3A3">
      <w:pPr>
        <w:overflowPunct w:val="0"/>
        <w:spacing w:line="560" w:lineRule="exact"/>
        <w:rPr>
          <w:rFonts w:ascii="仿宋" w:hAnsi="仿宋" w:eastAsia="仿宋"/>
          <w:color w:val="000000" w:themeColor="text1"/>
          <w:sz w:val="32"/>
          <w:szCs w:val="32"/>
        </w:rPr>
      </w:pPr>
      <w:r>
        <w:rPr>
          <w:rFonts w:hint="eastAsia" w:ascii="华文楷体" w:hAnsi="华文楷体" w:eastAsia="华文楷体"/>
          <w:color w:val="000000" w:themeColor="text1"/>
          <w:sz w:val="32"/>
          <w:szCs w:val="32"/>
        </w:rPr>
        <w:t xml:space="preserve">    1.健全完善工作机制。</w:t>
      </w:r>
      <w:r>
        <w:rPr>
          <w:rFonts w:hint="eastAsia" w:ascii="仿宋" w:hAnsi="仿宋" w:eastAsia="仿宋"/>
          <w:color w:val="000000" w:themeColor="text1"/>
          <w:sz w:val="32"/>
          <w:szCs w:val="32"/>
        </w:rPr>
        <w:t>积极构建与公安、卫健、应急、消防救援、气象、森林等部门和供电、供水、供热、供气等单位建立完善恶劣天气预警和联勤联动工作机制，强化会商研判，更新完善应急处置预案，及时掌握气候</w:t>
      </w:r>
      <w:bookmarkStart w:id="0" w:name="_GoBack"/>
      <w:bookmarkEnd w:id="0"/>
      <w:r>
        <w:rPr>
          <w:rFonts w:hint="eastAsia" w:ascii="仿宋" w:hAnsi="仿宋" w:eastAsia="仿宋"/>
          <w:color w:val="000000" w:themeColor="text1"/>
          <w:sz w:val="32"/>
          <w:szCs w:val="32"/>
        </w:rPr>
        <w:t>变化和灾情信息，提前发布预警提示，确保人民群众文化和旅游活动安全。</w:t>
      </w:r>
    </w:p>
    <w:p w14:paraId="766D7A20">
      <w:pPr>
        <w:overflowPunct w:val="0"/>
        <w:spacing w:line="560" w:lineRule="exact"/>
        <w:rPr>
          <w:rFonts w:ascii="仿宋" w:hAnsi="仿宋" w:eastAsia="仿宋"/>
          <w:color w:val="000000" w:themeColor="text1"/>
          <w:sz w:val="32"/>
          <w:szCs w:val="32"/>
        </w:rPr>
      </w:pPr>
      <w:r>
        <w:rPr>
          <w:rFonts w:hint="eastAsia" w:ascii="华文楷体" w:hAnsi="华文楷体" w:eastAsia="华文楷体"/>
          <w:color w:val="000000" w:themeColor="text1"/>
          <w:sz w:val="32"/>
          <w:szCs w:val="32"/>
        </w:rPr>
        <w:t xml:space="preserve">    2.持续开展专项行动。</w:t>
      </w:r>
      <w:r>
        <w:rPr>
          <w:rFonts w:hint="eastAsia" w:ascii="仿宋" w:hAnsi="仿宋" w:eastAsia="仿宋"/>
          <w:color w:val="000000" w:themeColor="text1"/>
          <w:sz w:val="32"/>
          <w:szCs w:val="32"/>
        </w:rPr>
        <w:t>深入开展剧院剧场类营业性演出场所、A级旅游景区室内场所消防安全和文物智慧消防专项整治行动，有力推动全省文化和旅游行业自建房安全整治、文化和旅游行业系统高层建筑重大火灾风险等专项行动。督促行业单位做好消防设施维护检修保暖防冻措施，保证消防设施完整好用。</w:t>
      </w:r>
    </w:p>
    <w:p w14:paraId="42DCBB76">
      <w:pPr>
        <w:overflowPunct w:val="0"/>
        <w:spacing w:line="560" w:lineRule="exact"/>
        <w:rPr>
          <w:rFonts w:ascii="仿宋" w:hAnsi="仿宋" w:eastAsia="仿宋"/>
          <w:color w:val="000000" w:themeColor="text1"/>
          <w:sz w:val="32"/>
          <w:szCs w:val="32"/>
        </w:rPr>
      </w:pPr>
      <w:r>
        <w:rPr>
          <w:rFonts w:hint="eastAsia" w:ascii="华文楷体" w:hAnsi="华文楷体" w:eastAsia="华文楷体"/>
          <w:color w:val="000000" w:themeColor="text1"/>
          <w:sz w:val="32"/>
          <w:szCs w:val="32"/>
        </w:rPr>
        <w:t xml:space="preserve">    3.做好应急救援准备。</w:t>
      </w:r>
      <w:r>
        <w:rPr>
          <w:rFonts w:hint="eastAsia" w:ascii="仿宋" w:hAnsi="仿宋" w:eastAsia="仿宋"/>
          <w:color w:val="000000" w:themeColor="text1"/>
          <w:sz w:val="32"/>
          <w:szCs w:val="32"/>
        </w:rPr>
        <w:t>配合消防救援部门对文旅行业单位周边市政消火栓等公共消防设施开展检查，以及冬季灭火救援物资装备、生活保障物资的储备，提前做好人员防寒、装备防冻、车辆防滑措施；开展一次文旅行业单位消防执勤车辆装备检查测试，及时发现消除问题隐患，确保应急车辆装备完整好用。</w:t>
      </w:r>
    </w:p>
    <w:p w14:paraId="3AE73CB5">
      <w:pPr>
        <w:overflowPunct w:val="0"/>
        <w:spacing w:line="560" w:lineRule="exact"/>
        <w:rPr>
          <w:rFonts w:ascii="华文楷体" w:hAnsi="华文楷体" w:eastAsia="华文楷体"/>
          <w:color w:val="000000" w:themeColor="text1"/>
          <w:sz w:val="32"/>
          <w:szCs w:val="32"/>
        </w:rPr>
      </w:pPr>
      <w:r>
        <w:rPr>
          <w:rFonts w:hint="eastAsia" w:ascii="华文楷体" w:hAnsi="华文楷体" w:eastAsia="华文楷体"/>
          <w:color w:val="000000" w:themeColor="text1"/>
          <w:sz w:val="32"/>
          <w:szCs w:val="32"/>
        </w:rPr>
        <w:t xml:space="preserve">    (五)统筹做好重大活动重要节点消防安全工作。</w:t>
      </w:r>
    </w:p>
    <w:p w14:paraId="23796123">
      <w:pPr>
        <w:overflowPunct w:val="0"/>
        <w:spacing w:line="560" w:lineRule="exact"/>
        <w:rPr>
          <w:rFonts w:ascii="仿宋" w:hAnsi="仿宋" w:eastAsia="仿宋"/>
          <w:color w:val="000000" w:themeColor="text1"/>
          <w:sz w:val="32"/>
          <w:szCs w:val="32"/>
        </w:rPr>
      </w:pPr>
      <w:r>
        <w:rPr>
          <w:rFonts w:hint="eastAsia" w:ascii="仿宋" w:hAnsi="仿宋" w:eastAsia="仿宋"/>
          <w:color w:val="000000" w:themeColor="text1"/>
          <w:sz w:val="32"/>
          <w:szCs w:val="32"/>
        </w:rPr>
        <w:t xml:space="preserve">    </w:t>
      </w:r>
      <w:r>
        <w:rPr>
          <w:rFonts w:hint="eastAsia" w:ascii="华文楷体" w:hAnsi="华文楷体" w:eastAsia="华文楷体"/>
          <w:color w:val="000000" w:themeColor="text1"/>
          <w:sz w:val="32"/>
          <w:szCs w:val="32"/>
        </w:rPr>
        <w:t>1.压实重大活动消防安保责任。</w:t>
      </w:r>
      <w:r>
        <w:rPr>
          <w:rFonts w:hint="eastAsia" w:ascii="仿宋" w:hAnsi="仿宋" w:eastAsia="仿宋"/>
          <w:color w:val="000000" w:themeColor="text1"/>
          <w:sz w:val="32"/>
          <w:szCs w:val="32"/>
        </w:rPr>
        <w:t>全国、全省“两会”、国家公祭仪式等重大活动期间，文旅企事业单位要提高火灾防范等级，严格落实安保措施。重点时段要采取特殊火灾防控举措，加强关键环节防范，对消防重点单位和场所实施全面消防检查，对重点部位明确专人严看硬守；要组织对水电油气热等重要基础设施逐一开展排查，加大防火巡查检查频次，筑牢安全屏障。</w:t>
      </w:r>
    </w:p>
    <w:p w14:paraId="42FB8EB7">
      <w:pPr>
        <w:overflowPunct w:val="0"/>
        <w:spacing w:line="560" w:lineRule="exact"/>
        <w:rPr>
          <w:rFonts w:ascii="仿宋" w:hAnsi="仿宋" w:eastAsia="仿宋"/>
          <w:color w:val="000000" w:themeColor="text1"/>
          <w:sz w:val="32"/>
          <w:szCs w:val="32"/>
        </w:rPr>
      </w:pPr>
      <w:r>
        <w:rPr>
          <w:rFonts w:hint="eastAsia" w:ascii="仿宋" w:hAnsi="仿宋" w:eastAsia="仿宋"/>
          <w:color w:val="000000" w:themeColor="text1"/>
          <w:sz w:val="32"/>
          <w:szCs w:val="32"/>
        </w:rPr>
        <w:t xml:space="preserve">   </w:t>
      </w:r>
      <w:r>
        <w:rPr>
          <w:rFonts w:hint="eastAsia" w:ascii="华文楷体" w:hAnsi="华文楷体" w:eastAsia="华文楷体"/>
          <w:color w:val="000000" w:themeColor="text1"/>
          <w:sz w:val="32"/>
          <w:szCs w:val="32"/>
        </w:rPr>
        <w:t xml:space="preserve"> 2.严密重要节点安全防范措施。</w:t>
      </w:r>
      <w:r>
        <w:rPr>
          <w:rFonts w:hint="eastAsia" w:ascii="仿宋" w:hAnsi="仿宋" w:eastAsia="仿宋"/>
          <w:color w:val="000000" w:themeColor="text1"/>
          <w:sz w:val="32"/>
          <w:szCs w:val="32"/>
        </w:rPr>
        <w:t>元旦、春节、元宵节等重要节日前，通过星级饭店大厅、A级景区入口显示屏、宣传栏等载体发布消防公益广告，组织发动节庆活动场所开展消防安全风险隐患自查自改。节日期间，采取集中检查、联合检查、交叉互查、错时检查等方式，紧盯烟花爆竹燃放、临时设施搭建、祭祀祈福、游乐出行等环节，督促落实安全防范措施。</w:t>
      </w:r>
    </w:p>
    <w:p w14:paraId="77EFEDFC">
      <w:pPr>
        <w:overflowPunct w:val="0"/>
        <w:spacing w:line="560" w:lineRule="exact"/>
        <w:rPr>
          <w:rFonts w:ascii="黑体" w:hAnsi="黑体" w:eastAsia="黑体"/>
          <w:color w:val="000000" w:themeColor="text1"/>
          <w:sz w:val="32"/>
          <w:szCs w:val="32"/>
        </w:rPr>
      </w:pPr>
      <w:r>
        <w:rPr>
          <w:rFonts w:hint="eastAsia" w:ascii="黑体" w:hAnsi="黑体" w:eastAsia="黑体"/>
          <w:color w:val="000000" w:themeColor="text1"/>
          <w:sz w:val="32"/>
          <w:szCs w:val="32"/>
        </w:rPr>
        <w:t xml:space="preserve">    三、时间步骤</w:t>
      </w:r>
    </w:p>
    <w:p w14:paraId="3F7C73C9">
      <w:pPr>
        <w:overflowPunct w:val="0"/>
        <w:spacing w:line="560" w:lineRule="exact"/>
        <w:rPr>
          <w:rFonts w:ascii="仿宋" w:hAnsi="仿宋" w:eastAsia="仿宋"/>
          <w:color w:val="000000" w:themeColor="text1"/>
          <w:sz w:val="32"/>
          <w:szCs w:val="32"/>
        </w:rPr>
      </w:pPr>
      <w:r>
        <w:rPr>
          <w:rFonts w:hint="eastAsia" w:ascii="仿宋" w:hAnsi="仿宋" w:eastAsia="仿宋"/>
          <w:color w:val="000000" w:themeColor="text1"/>
          <w:sz w:val="32"/>
          <w:szCs w:val="32"/>
        </w:rPr>
        <w:t xml:space="preserve">    </w:t>
      </w:r>
      <w:r>
        <w:rPr>
          <w:rFonts w:hint="eastAsia" w:ascii="华文楷体" w:hAnsi="华文楷体" w:eastAsia="华文楷体"/>
          <w:color w:val="000000" w:themeColor="text1"/>
          <w:sz w:val="32"/>
          <w:szCs w:val="32"/>
        </w:rPr>
        <w:t>(一)部署发动(2022年11月底前)</w:t>
      </w:r>
      <w:r>
        <w:rPr>
          <w:rFonts w:hint="eastAsia" w:ascii="仿宋" w:hAnsi="仿宋" w:eastAsia="仿宋"/>
          <w:color w:val="000000" w:themeColor="text1"/>
          <w:sz w:val="32"/>
          <w:szCs w:val="32"/>
        </w:rPr>
        <w:t>。省文化和旅游厅印发工作方案，广泛动员部署。各地各级文旅行政部门结合实际，进一步细化工作措施、部署发动。</w:t>
      </w:r>
    </w:p>
    <w:p w14:paraId="41EC4B53">
      <w:pPr>
        <w:overflowPunct w:val="0"/>
        <w:spacing w:line="560" w:lineRule="exact"/>
        <w:rPr>
          <w:rFonts w:ascii="华文楷体" w:hAnsi="华文楷体" w:eastAsia="华文楷体"/>
          <w:color w:val="000000" w:themeColor="text1"/>
          <w:sz w:val="32"/>
          <w:szCs w:val="32"/>
        </w:rPr>
      </w:pPr>
      <w:r>
        <w:rPr>
          <w:rFonts w:hint="eastAsia" w:ascii="华文楷体" w:hAnsi="华文楷体" w:eastAsia="华文楷体"/>
          <w:color w:val="000000" w:themeColor="text1"/>
          <w:sz w:val="32"/>
          <w:szCs w:val="32"/>
        </w:rPr>
        <w:t xml:space="preserve">    (二)组织实施(2022年12月至2023年全国“两会”闭幕)。</w:t>
      </w:r>
    </w:p>
    <w:p w14:paraId="242CA86C">
      <w:pPr>
        <w:overflowPunct w:val="0"/>
        <w:spacing w:line="560" w:lineRule="exact"/>
        <w:rPr>
          <w:rFonts w:ascii="仿宋" w:hAnsi="仿宋" w:eastAsia="仿宋"/>
          <w:color w:val="000000" w:themeColor="text1"/>
          <w:sz w:val="32"/>
          <w:szCs w:val="32"/>
        </w:rPr>
      </w:pPr>
      <w:r>
        <w:rPr>
          <w:rFonts w:hint="eastAsia" w:ascii="仿宋" w:hAnsi="仿宋" w:eastAsia="仿宋"/>
          <w:color w:val="000000" w:themeColor="text1"/>
          <w:sz w:val="32"/>
          <w:szCs w:val="32"/>
        </w:rPr>
        <w:t>各地文旅行政部门和单位对照工作方案，精心组织实施，定期研判调度，加强检查督导，从严从细从实抓好责任措施落实。</w:t>
      </w:r>
    </w:p>
    <w:p w14:paraId="53EE0BAD">
      <w:pPr>
        <w:overflowPunct w:val="0"/>
        <w:spacing w:line="560" w:lineRule="exact"/>
        <w:rPr>
          <w:rFonts w:ascii="仿宋" w:hAnsi="仿宋" w:eastAsia="仿宋"/>
          <w:color w:val="000000" w:themeColor="text1"/>
          <w:sz w:val="32"/>
          <w:szCs w:val="32"/>
        </w:rPr>
      </w:pPr>
      <w:r>
        <w:rPr>
          <w:rFonts w:hint="eastAsia" w:ascii="华文楷体" w:hAnsi="华文楷体" w:eastAsia="华文楷体"/>
          <w:color w:val="000000" w:themeColor="text1"/>
          <w:sz w:val="32"/>
          <w:szCs w:val="32"/>
        </w:rPr>
        <w:t xml:space="preserve">    (三)总结验收（2023年全国“两会”闭幕至3月底)。</w:t>
      </w:r>
      <w:r>
        <w:rPr>
          <w:rFonts w:hint="eastAsia" w:ascii="仿宋" w:hAnsi="仿宋" w:eastAsia="仿宋"/>
          <w:color w:val="000000" w:themeColor="text1"/>
          <w:sz w:val="32"/>
          <w:szCs w:val="32"/>
        </w:rPr>
        <w:t>各设区市文旅行政部门组织检查验收，认真总结工作，固化经验做法，省级适时组织督查抽查各地和直属单位火灾防控工作成效。</w:t>
      </w:r>
    </w:p>
    <w:p w14:paraId="427423B9">
      <w:pPr>
        <w:overflowPunct w:val="0"/>
        <w:spacing w:line="560" w:lineRule="exact"/>
        <w:rPr>
          <w:rFonts w:ascii="黑体" w:hAnsi="黑体" w:eastAsia="黑体"/>
          <w:color w:val="000000" w:themeColor="text1"/>
          <w:sz w:val="32"/>
          <w:szCs w:val="32"/>
        </w:rPr>
      </w:pPr>
      <w:r>
        <w:rPr>
          <w:rFonts w:hint="eastAsia" w:ascii="黑体" w:hAnsi="黑体" w:eastAsia="黑体"/>
          <w:color w:val="000000" w:themeColor="text1"/>
          <w:sz w:val="32"/>
          <w:szCs w:val="32"/>
        </w:rPr>
        <w:t xml:space="preserve">     四、工作措施</w:t>
      </w:r>
    </w:p>
    <w:p w14:paraId="0000DC8C">
      <w:pPr>
        <w:overflowPunct w:val="0"/>
        <w:spacing w:line="560" w:lineRule="exact"/>
        <w:rPr>
          <w:rFonts w:ascii="仿宋" w:hAnsi="仿宋" w:eastAsia="仿宋"/>
          <w:color w:val="000000" w:themeColor="text1"/>
          <w:sz w:val="32"/>
          <w:szCs w:val="32"/>
        </w:rPr>
      </w:pPr>
      <w:r>
        <w:rPr>
          <w:rFonts w:hint="eastAsia" w:ascii="华文楷体" w:hAnsi="华文楷体" w:eastAsia="华文楷体"/>
          <w:color w:val="000000" w:themeColor="text1"/>
          <w:sz w:val="32"/>
          <w:szCs w:val="32"/>
        </w:rPr>
        <w:t xml:space="preserve">     (一)加强组织领导。</w:t>
      </w:r>
      <w:r>
        <w:rPr>
          <w:rFonts w:hint="eastAsia" w:ascii="仿宋" w:hAnsi="仿宋" w:eastAsia="仿宋"/>
          <w:color w:val="000000" w:themeColor="text1"/>
          <w:sz w:val="32"/>
          <w:szCs w:val="32"/>
        </w:rPr>
        <w:t>进一步树牢安全发展理念，层层压实责任，抓好冬春火灾防控工作组织实施。要坚持安全第一、预防为主，推动消防安全治理模式向事前预防转变，不断提高治理能力和水平；要定期会商研判，加强督促指导，解决重大消防安全隐患问题，全力推动各方责任落实。</w:t>
      </w:r>
    </w:p>
    <w:p w14:paraId="510E14A9">
      <w:pPr>
        <w:overflowPunct w:val="0"/>
        <w:spacing w:line="560" w:lineRule="exact"/>
        <w:rPr>
          <w:rFonts w:ascii="仿宋" w:hAnsi="仿宋" w:eastAsia="仿宋"/>
          <w:color w:val="000000" w:themeColor="text1"/>
          <w:sz w:val="32"/>
          <w:szCs w:val="32"/>
        </w:rPr>
      </w:pPr>
      <w:r>
        <w:rPr>
          <w:rFonts w:hint="eastAsia" w:ascii="华文楷体" w:hAnsi="华文楷体" w:eastAsia="华文楷体"/>
          <w:color w:val="000000" w:themeColor="text1"/>
          <w:sz w:val="32"/>
          <w:szCs w:val="32"/>
        </w:rPr>
        <w:t xml:space="preserve">    (二)实施综合治理。</w:t>
      </w:r>
      <w:r>
        <w:rPr>
          <w:rFonts w:hint="eastAsia" w:ascii="仿宋" w:hAnsi="仿宋" w:eastAsia="仿宋"/>
          <w:color w:val="000000" w:themeColor="text1"/>
          <w:sz w:val="32"/>
          <w:szCs w:val="32"/>
        </w:rPr>
        <w:t>强化行业监管责任，组织开展文旅行业系统消防安全大排查。要专题研判一次本地文旅企事业单位和直属单位的消防安全形势，找出最不放心的区域、最薄弱的环节和最突出的问题，坚持共性与个性相结合，开展精准化治理，实施重大火灾隐患问题集中攻坚，跟踪督促整改隐患，确保治理成效。</w:t>
      </w:r>
    </w:p>
    <w:p w14:paraId="67700B98">
      <w:pPr>
        <w:overflowPunct w:val="0"/>
        <w:spacing w:line="560" w:lineRule="exact"/>
        <w:rPr>
          <w:rFonts w:ascii="仿宋" w:hAnsi="仿宋" w:eastAsia="仿宋"/>
          <w:color w:val="000000" w:themeColor="text1"/>
          <w:sz w:val="32"/>
          <w:szCs w:val="32"/>
        </w:rPr>
      </w:pPr>
      <w:r>
        <w:rPr>
          <w:rFonts w:hint="eastAsia" w:ascii="华文楷体" w:hAnsi="华文楷体" w:eastAsia="华文楷体"/>
          <w:color w:val="000000" w:themeColor="text1"/>
          <w:sz w:val="32"/>
          <w:szCs w:val="32"/>
        </w:rPr>
        <w:t xml:space="preserve">    (三)严肃督导问责。</w:t>
      </w:r>
      <w:r>
        <w:rPr>
          <w:rFonts w:hint="eastAsia" w:ascii="仿宋" w:hAnsi="仿宋" w:eastAsia="仿宋"/>
          <w:color w:val="000000" w:themeColor="text1"/>
          <w:sz w:val="32"/>
          <w:szCs w:val="32"/>
        </w:rPr>
        <w:t>各级文旅行政部门要组织对冬春火灾防控工作开展明查暗访，对工作不落实、成效不明显的地区和单位，及时通报、督办，督促落实整改措施。对发生较大及以上亡人火灾事故的，要依法依规从严追究有关单位和人员的责任。</w:t>
      </w:r>
    </w:p>
    <w:p w14:paraId="7BC8E4CC">
      <w:pPr>
        <w:overflowPunct w:val="0"/>
        <w:spacing w:line="560" w:lineRule="exact"/>
        <w:rPr>
          <w:rFonts w:ascii="仿宋" w:hAnsi="仿宋" w:eastAsia="仿宋"/>
          <w:color w:val="000000" w:themeColor="text1"/>
          <w:sz w:val="32"/>
          <w:szCs w:val="32"/>
        </w:rPr>
      </w:pPr>
      <w:r>
        <w:rPr>
          <w:rFonts w:hint="eastAsia" w:ascii="仿宋" w:hAnsi="仿宋" w:eastAsia="仿宋"/>
          <w:color w:val="000000" w:themeColor="text1"/>
          <w:sz w:val="32"/>
          <w:szCs w:val="32"/>
        </w:rPr>
        <w:t xml:space="preserve">    各设区市文旅行政部门冬春火灾防控工作动员部署及推进落实情况，请于12月15日前报送我厅(厅直单位报厅办公室)，2023年3月20日前报送工作总结（</w:t>
      </w:r>
      <w:r>
        <w:rPr>
          <w:rFonts w:hint="eastAsia" w:ascii="Times New Roman" w:hAnsi="Times New Roman" w:eastAsia="仿宋" w:cs="Times New Roman"/>
          <w:color w:val="000000" w:themeColor="text1"/>
          <w:sz w:val="32"/>
          <w:szCs w:val="32"/>
          <w:shd w:val="clear" w:color="auto" w:fill="FFFFFF"/>
        </w:rPr>
        <w:t>联系人：方海潮，电话：025-52827869，邮箱：</w:t>
      </w:r>
      <w:r>
        <w:rPr>
          <w:rFonts w:ascii="Times New Roman" w:hAnsi="Times New Roman" w:eastAsia="仿宋" w:cs="Times New Roman"/>
          <w:color w:val="000000" w:themeColor="text1"/>
          <w:sz w:val="32"/>
          <w:szCs w:val="32"/>
          <w:shd w:val="clear" w:color="auto" w:fill="FFFFFF"/>
        </w:rPr>
        <w:t>jssfhc@163.com</w:t>
      </w:r>
      <w:r>
        <w:rPr>
          <w:rFonts w:hint="eastAsia" w:ascii="Times New Roman" w:hAnsi="Times New Roman" w:eastAsia="仿宋" w:cs="Times New Roman"/>
          <w:color w:val="000000" w:themeColor="text1"/>
          <w:sz w:val="32"/>
          <w:szCs w:val="32"/>
          <w:shd w:val="clear" w:color="auto" w:fill="FFFFFF"/>
        </w:rPr>
        <w:t>）</w:t>
      </w:r>
      <w:r>
        <w:rPr>
          <w:rFonts w:hint="eastAsia" w:ascii="仿宋" w:hAnsi="仿宋" w:eastAsia="仿宋"/>
          <w:color w:val="000000" w:themeColor="text1"/>
          <w:sz w:val="32"/>
          <w:szCs w:val="32"/>
        </w:rPr>
        <w:t xml:space="preserve">。 </w:t>
      </w:r>
    </w:p>
    <w:p w14:paraId="6FB7FEDD">
      <w:pPr>
        <w:spacing w:line="560" w:lineRule="exact"/>
        <w:rPr>
          <w:rFonts w:ascii="仿宋" w:hAnsi="仿宋" w:eastAsia="仿宋"/>
          <w:color w:val="000000" w:themeColor="text1"/>
          <w:sz w:val="32"/>
          <w:szCs w:val="32"/>
        </w:rPr>
      </w:pPr>
    </w:p>
    <w:p w14:paraId="4CEC6679">
      <w:pPr>
        <w:spacing w:line="560" w:lineRule="exact"/>
        <w:ind w:firstLine="4534" w:firstLineChars="1417"/>
        <w:rPr>
          <w:rFonts w:ascii="仿宋" w:hAnsi="仿宋" w:eastAsia="仿宋"/>
          <w:color w:val="000000" w:themeColor="text1"/>
          <w:sz w:val="32"/>
          <w:szCs w:val="32"/>
        </w:rPr>
      </w:pPr>
    </w:p>
    <w:p w14:paraId="07C88A42">
      <w:pPr>
        <w:spacing w:line="560" w:lineRule="exact"/>
        <w:ind w:firstLine="4534" w:firstLineChars="1417"/>
        <w:rPr>
          <w:rFonts w:ascii="仿宋" w:hAnsi="仿宋" w:eastAsia="仿宋"/>
          <w:color w:val="000000" w:themeColor="text1"/>
          <w:sz w:val="32"/>
          <w:szCs w:val="32"/>
        </w:rPr>
      </w:pPr>
    </w:p>
    <w:p w14:paraId="41BAA4F7">
      <w:pPr>
        <w:spacing w:line="560" w:lineRule="exact"/>
        <w:ind w:firstLine="4534" w:firstLineChars="1417"/>
        <w:rPr>
          <w:rFonts w:ascii="仿宋" w:hAnsi="仿宋" w:eastAsia="仿宋"/>
          <w:color w:val="000000" w:themeColor="text1"/>
          <w:sz w:val="32"/>
          <w:szCs w:val="32"/>
        </w:rPr>
      </w:pPr>
    </w:p>
    <w:p w14:paraId="129F0CCD">
      <w:pPr>
        <w:spacing w:line="560" w:lineRule="exact"/>
        <w:ind w:firstLine="4534" w:firstLineChars="1417"/>
        <w:rPr>
          <w:rFonts w:ascii="仿宋" w:hAnsi="仿宋" w:eastAsia="仿宋"/>
          <w:color w:val="000000" w:themeColor="text1"/>
          <w:sz w:val="32"/>
          <w:szCs w:val="32"/>
        </w:rPr>
      </w:pPr>
    </w:p>
    <w:p w14:paraId="40C0065A">
      <w:pPr>
        <w:spacing w:line="560" w:lineRule="exact"/>
        <w:ind w:firstLine="4534" w:firstLineChars="1417"/>
        <w:rPr>
          <w:rFonts w:ascii="仿宋" w:hAnsi="仿宋" w:eastAsia="仿宋"/>
          <w:color w:val="000000" w:themeColor="text1"/>
          <w:sz w:val="32"/>
          <w:szCs w:val="32"/>
        </w:rPr>
      </w:pPr>
    </w:p>
    <w:p w14:paraId="6C4310E4">
      <w:pPr>
        <w:spacing w:line="560" w:lineRule="exact"/>
        <w:ind w:firstLine="4534" w:firstLineChars="1417"/>
        <w:rPr>
          <w:rFonts w:ascii="仿宋" w:hAnsi="仿宋" w:eastAsia="仿宋"/>
          <w:color w:val="000000" w:themeColor="text1"/>
          <w:sz w:val="32"/>
          <w:szCs w:val="32"/>
        </w:rPr>
      </w:pPr>
    </w:p>
    <w:p w14:paraId="1C40D531">
      <w:pPr>
        <w:spacing w:line="560" w:lineRule="exact"/>
        <w:ind w:firstLine="4534" w:firstLineChars="1417"/>
        <w:rPr>
          <w:rFonts w:ascii="仿宋" w:hAnsi="仿宋" w:eastAsia="仿宋"/>
          <w:color w:val="000000" w:themeColor="text1"/>
          <w:sz w:val="32"/>
          <w:szCs w:val="32"/>
        </w:rPr>
      </w:pPr>
    </w:p>
    <w:p w14:paraId="3B2371FB">
      <w:pPr>
        <w:spacing w:line="560" w:lineRule="exact"/>
        <w:ind w:firstLine="4534" w:firstLineChars="1417"/>
        <w:rPr>
          <w:rFonts w:ascii="仿宋" w:hAnsi="仿宋" w:eastAsia="仿宋"/>
          <w:color w:val="000000" w:themeColor="text1"/>
          <w:sz w:val="32"/>
          <w:szCs w:val="32"/>
        </w:rPr>
      </w:pPr>
    </w:p>
    <w:p w14:paraId="171EC86D">
      <w:pPr>
        <w:spacing w:line="560" w:lineRule="exact"/>
        <w:ind w:firstLine="4534" w:firstLineChars="1417"/>
        <w:rPr>
          <w:rFonts w:ascii="仿宋" w:hAnsi="仿宋" w:eastAsia="仿宋"/>
          <w:color w:val="000000" w:themeColor="text1"/>
          <w:sz w:val="32"/>
          <w:szCs w:val="32"/>
        </w:rPr>
      </w:pPr>
    </w:p>
    <w:p w14:paraId="70ED4F72">
      <w:pPr>
        <w:spacing w:line="560" w:lineRule="exact"/>
        <w:ind w:firstLine="4534" w:firstLineChars="1417"/>
        <w:rPr>
          <w:rFonts w:ascii="仿宋" w:hAnsi="仿宋" w:eastAsia="仿宋"/>
          <w:color w:val="000000" w:themeColor="text1"/>
          <w:sz w:val="32"/>
          <w:szCs w:val="32"/>
        </w:rPr>
      </w:pPr>
    </w:p>
    <w:p w14:paraId="71DF2C07">
      <w:pPr>
        <w:spacing w:line="560" w:lineRule="exact"/>
        <w:ind w:firstLine="4534" w:firstLineChars="1417"/>
        <w:rPr>
          <w:rFonts w:ascii="仿宋" w:hAnsi="仿宋" w:eastAsia="仿宋"/>
          <w:color w:val="000000" w:themeColor="text1"/>
          <w:sz w:val="32"/>
          <w:szCs w:val="32"/>
        </w:rPr>
      </w:pPr>
    </w:p>
    <w:p w14:paraId="02FC1865">
      <w:pPr>
        <w:spacing w:line="560" w:lineRule="exact"/>
        <w:ind w:firstLine="4534" w:firstLineChars="1417"/>
        <w:rPr>
          <w:rFonts w:ascii="仿宋" w:hAnsi="仿宋" w:eastAsia="仿宋"/>
          <w:color w:val="000000" w:themeColor="text1"/>
          <w:sz w:val="32"/>
          <w:szCs w:val="32"/>
        </w:rPr>
      </w:pPr>
    </w:p>
    <w:p w14:paraId="12C848E5">
      <w:pPr>
        <w:spacing w:line="560" w:lineRule="exact"/>
        <w:ind w:firstLine="4534" w:firstLineChars="1417"/>
        <w:rPr>
          <w:rFonts w:ascii="仿宋" w:hAnsi="仿宋" w:eastAsia="仿宋"/>
          <w:color w:val="000000" w:themeColor="text1"/>
          <w:sz w:val="32"/>
          <w:szCs w:val="32"/>
        </w:rPr>
      </w:pPr>
    </w:p>
    <w:p w14:paraId="2D06C475">
      <w:pPr>
        <w:spacing w:line="560" w:lineRule="exact"/>
        <w:ind w:firstLine="4534" w:firstLineChars="1417"/>
        <w:rPr>
          <w:rFonts w:ascii="仿宋" w:hAnsi="仿宋" w:eastAsia="仿宋"/>
          <w:color w:val="000000" w:themeColor="text1"/>
          <w:sz w:val="32"/>
          <w:szCs w:val="32"/>
        </w:rPr>
      </w:pPr>
    </w:p>
    <w:p w14:paraId="26BED263">
      <w:pPr>
        <w:spacing w:line="560" w:lineRule="exact"/>
        <w:ind w:firstLine="4534" w:firstLineChars="1417"/>
        <w:rPr>
          <w:rFonts w:ascii="仿宋" w:hAnsi="仿宋" w:eastAsia="仿宋"/>
          <w:color w:val="000000" w:themeColor="text1"/>
          <w:sz w:val="32"/>
          <w:szCs w:val="32"/>
        </w:rPr>
      </w:pPr>
    </w:p>
    <w:tbl>
      <w:tblPr>
        <w:tblStyle w:val="5"/>
        <w:tblpPr w:leftFromText="180" w:rightFromText="180" w:vertAnchor="text" w:horzAnchor="margin" w:tblpY="236"/>
        <w:tblW w:w="0" w:type="auto"/>
        <w:tblInd w:w="0" w:type="dxa"/>
        <w:tblBorders>
          <w:top w:val="none" w:color="auto" w:sz="0" w:space="0"/>
          <w:left w:val="none" w:color="auto" w:sz="0" w:space="0"/>
          <w:bottom w:val="single" w:color="auto" w:sz="4" w:space="0"/>
          <w:right w:val="none" w:color="auto" w:sz="0" w:space="0"/>
          <w:insideH w:val="single" w:color="auto" w:sz="4" w:space="0"/>
          <w:insideV w:val="none" w:color="auto" w:sz="0" w:space="0"/>
        </w:tblBorders>
        <w:tblLayout w:type="autofit"/>
        <w:tblCellMar>
          <w:top w:w="0" w:type="dxa"/>
          <w:left w:w="108" w:type="dxa"/>
          <w:bottom w:w="0" w:type="dxa"/>
          <w:right w:w="108" w:type="dxa"/>
        </w:tblCellMar>
      </w:tblPr>
      <w:tblGrid>
        <w:gridCol w:w="9060"/>
      </w:tblGrid>
      <w:tr w14:paraId="3F6BA465">
        <w:tblPrEx>
          <w:tblBorders>
            <w:top w:val="none" w:color="auto" w:sz="0" w:space="0"/>
            <w:left w:val="none" w:color="auto" w:sz="0" w:space="0"/>
            <w:bottom w:val="single" w:color="auto" w:sz="4" w:space="0"/>
            <w:right w:val="none" w:color="auto" w:sz="0" w:space="0"/>
            <w:insideH w:val="single" w:color="auto" w:sz="4" w:space="0"/>
            <w:insideV w:val="none" w:color="auto" w:sz="0" w:space="0"/>
          </w:tblBorders>
          <w:tblCellMar>
            <w:top w:w="0" w:type="dxa"/>
            <w:left w:w="108" w:type="dxa"/>
            <w:bottom w:w="0" w:type="dxa"/>
            <w:right w:w="108" w:type="dxa"/>
          </w:tblCellMar>
        </w:tblPrEx>
        <w:tc>
          <w:tcPr>
            <w:tcW w:w="9060" w:type="dxa"/>
          </w:tcPr>
          <w:p w14:paraId="5F09107A">
            <w:pPr>
              <w:spacing w:line="560" w:lineRule="exact"/>
              <w:rPr>
                <w:rFonts w:ascii="仿宋" w:hAnsi="仿宋" w:eastAsia="仿宋"/>
                <w:color w:val="000000" w:themeColor="text1"/>
                <w:sz w:val="32"/>
                <w:szCs w:val="32"/>
              </w:rPr>
            </w:pPr>
            <w:r>
              <w:rPr>
                <w:rFonts w:hint="eastAsia" w:ascii="仿宋" w:hAnsi="仿宋" w:eastAsia="仿宋"/>
                <w:color w:val="000000" w:themeColor="text1"/>
                <w:sz w:val="32"/>
                <w:szCs w:val="32"/>
              </w:rPr>
              <w:t>抄    送：省消防安全委员会办公室，厅办公室。</w:t>
            </w:r>
          </w:p>
        </w:tc>
      </w:tr>
      <w:tr w14:paraId="60A4EB2A">
        <w:tblPrEx>
          <w:tblBorders>
            <w:top w:val="none" w:color="auto" w:sz="0" w:space="0"/>
            <w:left w:val="none" w:color="auto" w:sz="0" w:space="0"/>
            <w:bottom w:val="single" w:color="auto" w:sz="4" w:space="0"/>
            <w:right w:val="none" w:color="auto" w:sz="0" w:space="0"/>
            <w:insideH w:val="single" w:color="auto" w:sz="4" w:space="0"/>
            <w:insideV w:val="none" w:color="auto" w:sz="0" w:space="0"/>
          </w:tblBorders>
          <w:tblCellMar>
            <w:top w:w="0" w:type="dxa"/>
            <w:left w:w="108" w:type="dxa"/>
            <w:bottom w:w="0" w:type="dxa"/>
            <w:right w:w="108" w:type="dxa"/>
          </w:tblCellMar>
        </w:tblPrEx>
        <w:tc>
          <w:tcPr>
            <w:tcW w:w="9060" w:type="dxa"/>
          </w:tcPr>
          <w:p w14:paraId="6F65B863">
            <w:pPr>
              <w:spacing w:line="560" w:lineRule="exact"/>
              <w:rPr>
                <w:rFonts w:ascii="仿宋" w:hAnsi="仿宋" w:eastAsia="仿宋"/>
                <w:color w:val="000000" w:themeColor="text1"/>
                <w:sz w:val="32"/>
                <w:szCs w:val="32"/>
              </w:rPr>
            </w:pPr>
            <w:r>
              <w:rPr>
                <w:rFonts w:hint="eastAsia" w:ascii="仿宋" w:hAnsi="仿宋" w:eastAsia="仿宋"/>
                <w:color w:val="000000" w:themeColor="text1"/>
                <w:sz w:val="32"/>
                <w:szCs w:val="32"/>
              </w:rPr>
              <w:t>承办单位：安全监管处  经办人：方海潮 电话：025-52827869</w:t>
            </w:r>
          </w:p>
        </w:tc>
      </w:tr>
    </w:tbl>
    <w:p w14:paraId="59554145">
      <w:pPr>
        <w:spacing w:line="560" w:lineRule="exact"/>
        <w:ind w:firstLine="4534" w:firstLineChars="1417"/>
        <w:rPr>
          <w:rFonts w:ascii="仿宋" w:hAnsi="仿宋" w:eastAsia="仿宋"/>
          <w:color w:val="000000" w:themeColor="text1"/>
          <w:sz w:val="32"/>
          <w:szCs w:val="32"/>
        </w:rPr>
      </w:pPr>
    </w:p>
    <w:sectPr>
      <w:footerReference r:id="rId3" w:type="default"/>
      <w:pgSz w:w="11906" w:h="16838"/>
      <w:pgMar w:top="1702" w:right="1474" w:bottom="1985" w:left="1588" w:header="851" w:footer="992" w:gutter="0"/>
      <w:pgNumType w:fmt="numberInDash"/>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altName w:val="微软雅黑"/>
    <w:panose1 w:val="03000509000000000000"/>
    <w:charset w:val="86"/>
    <w:family w:val="script"/>
    <w:pitch w:val="default"/>
    <w:sig w:usb0="00000000" w:usb1="00000000" w:usb2="00000010" w:usb3="00000000" w:csb0="00040000" w:csb1="00000000"/>
  </w:font>
  <w:font w:name="Arial Unicode MS">
    <w:altName w:val="Arial"/>
    <w:panose1 w:val="00000000000000000000"/>
    <w:charset w:val="00"/>
    <w:family w:val="auto"/>
    <w:pitch w:val="default"/>
    <w:sig w:usb0="00000000" w:usb1="00000000" w:usb2="00000000" w:usb3="00000000" w:csb0="00000000" w:csb1="00000000"/>
  </w:font>
  <w:font w:name="仿宋">
    <w:panose1 w:val="02010609060101010101"/>
    <w:charset w:val="86"/>
    <w:family w:val="modern"/>
    <w:pitch w:val="default"/>
    <w:sig w:usb0="800002BF" w:usb1="38CF7CFA" w:usb2="00000016" w:usb3="00000000" w:csb0="00040001" w:csb1="00000000"/>
  </w:font>
  <w:font w:name="华文楷体">
    <w:altName w:val="宋体"/>
    <w:panose1 w:val="02010600040101010101"/>
    <w:charset w:val="86"/>
    <w:family w:val="auto"/>
    <w:pitch w:val="default"/>
    <w:sig w:usb0="00000000" w:usb1="00000000" w:usb2="00000010" w:usb3="00000000" w:csb0="0004009F"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4610844"/>
      <w:docPartObj>
        <w:docPartGallery w:val="AutoText"/>
      </w:docPartObj>
    </w:sdtPr>
    <w:sdtContent>
      <w:p w14:paraId="31DE9092">
        <w:pPr>
          <w:pStyle w:val="2"/>
          <w:jc w:val="right"/>
        </w:pPr>
        <w:r>
          <w:rPr>
            <w:rFonts w:ascii="仿宋" w:hAnsi="仿宋" w:eastAsia="仿宋"/>
            <w:sz w:val="28"/>
            <w:szCs w:val="28"/>
          </w:rPr>
          <w:fldChar w:fldCharType="begin"/>
        </w:r>
        <w:r>
          <w:rPr>
            <w:rFonts w:ascii="仿宋" w:hAnsi="仿宋" w:eastAsia="仿宋"/>
            <w:sz w:val="28"/>
            <w:szCs w:val="28"/>
          </w:rPr>
          <w:instrText xml:space="preserve"> PAGE   \* MERGEFORMAT </w:instrText>
        </w:r>
        <w:r>
          <w:rPr>
            <w:rFonts w:ascii="仿宋" w:hAnsi="仿宋" w:eastAsia="仿宋"/>
            <w:sz w:val="28"/>
            <w:szCs w:val="28"/>
          </w:rPr>
          <w:fldChar w:fldCharType="separate"/>
        </w:r>
        <w:r>
          <w:rPr>
            <w:rFonts w:ascii="仿宋" w:hAnsi="仿宋" w:eastAsia="仿宋"/>
            <w:sz w:val="28"/>
            <w:szCs w:val="28"/>
            <w:lang w:val="zh-CN"/>
          </w:rPr>
          <w:t>-</w:t>
        </w:r>
        <w:r>
          <w:rPr>
            <w:rFonts w:ascii="仿宋" w:hAnsi="仿宋" w:eastAsia="仿宋"/>
            <w:sz w:val="28"/>
            <w:szCs w:val="28"/>
          </w:rPr>
          <w:t xml:space="preserve"> 1 -</w:t>
        </w:r>
        <w:r>
          <w:rPr>
            <w:rFonts w:ascii="仿宋" w:hAnsi="仿宋" w:eastAsia="仿宋"/>
            <w:sz w:val="28"/>
            <w:szCs w:val="28"/>
          </w:rPr>
          <w:fldChar w:fldCharType="end"/>
        </w:r>
      </w:p>
    </w:sdtContent>
  </w:sdt>
  <w:p w14:paraId="7773018B">
    <w:pPr>
      <w:pStyle w:val="2"/>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44"/>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2"/>
  </w:compat>
  <w:rsids>
    <w:rsidRoot w:val="00C868B7"/>
    <w:rsid w:val="00006DEB"/>
    <w:rsid w:val="0001478E"/>
    <w:rsid w:val="00025667"/>
    <w:rsid w:val="000347BD"/>
    <w:rsid w:val="000434E2"/>
    <w:rsid w:val="00065F07"/>
    <w:rsid w:val="00066C78"/>
    <w:rsid w:val="00072FBC"/>
    <w:rsid w:val="00086DEC"/>
    <w:rsid w:val="00095BE5"/>
    <w:rsid w:val="000A39CE"/>
    <w:rsid w:val="000B754E"/>
    <w:rsid w:val="000D12E6"/>
    <w:rsid w:val="000D509A"/>
    <w:rsid w:val="000D6201"/>
    <w:rsid w:val="000D775B"/>
    <w:rsid w:val="000F459C"/>
    <w:rsid w:val="00132CBB"/>
    <w:rsid w:val="00151A1C"/>
    <w:rsid w:val="00162F86"/>
    <w:rsid w:val="0018375A"/>
    <w:rsid w:val="001B3F6F"/>
    <w:rsid w:val="001C3528"/>
    <w:rsid w:val="001E166A"/>
    <w:rsid w:val="001E7BEB"/>
    <w:rsid w:val="001F7D16"/>
    <w:rsid w:val="00211343"/>
    <w:rsid w:val="0023458E"/>
    <w:rsid w:val="00236B9B"/>
    <w:rsid w:val="00240A97"/>
    <w:rsid w:val="00253769"/>
    <w:rsid w:val="0026047F"/>
    <w:rsid w:val="002701BF"/>
    <w:rsid w:val="0027271C"/>
    <w:rsid w:val="00284358"/>
    <w:rsid w:val="002A049D"/>
    <w:rsid w:val="002A2BB1"/>
    <w:rsid w:val="002C4B65"/>
    <w:rsid w:val="002D1697"/>
    <w:rsid w:val="002F736A"/>
    <w:rsid w:val="002F7688"/>
    <w:rsid w:val="003067A2"/>
    <w:rsid w:val="00332872"/>
    <w:rsid w:val="00333758"/>
    <w:rsid w:val="00333C1C"/>
    <w:rsid w:val="00333E15"/>
    <w:rsid w:val="00343A77"/>
    <w:rsid w:val="00376143"/>
    <w:rsid w:val="003943EF"/>
    <w:rsid w:val="003A4F3B"/>
    <w:rsid w:val="003B1D09"/>
    <w:rsid w:val="003C159B"/>
    <w:rsid w:val="003C7010"/>
    <w:rsid w:val="003D2613"/>
    <w:rsid w:val="003E33FE"/>
    <w:rsid w:val="003F0D1A"/>
    <w:rsid w:val="003F5A8B"/>
    <w:rsid w:val="00404C51"/>
    <w:rsid w:val="004058AD"/>
    <w:rsid w:val="00406C09"/>
    <w:rsid w:val="00421373"/>
    <w:rsid w:val="00423F22"/>
    <w:rsid w:val="00443AD1"/>
    <w:rsid w:val="004442BA"/>
    <w:rsid w:val="00493CB6"/>
    <w:rsid w:val="004A538A"/>
    <w:rsid w:val="00515738"/>
    <w:rsid w:val="005524F2"/>
    <w:rsid w:val="00562CC2"/>
    <w:rsid w:val="0057172B"/>
    <w:rsid w:val="00572279"/>
    <w:rsid w:val="0057731F"/>
    <w:rsid w:val="00581CA0"/>
    <w:rsid w:val="00587DD3"/>
    <w:rsid w:val="005909B3"/>
    <w:rsid w:val="005A730D"/>
    <w:rsid w:val="005B50D1"/>
    <w:rsid w:val="005C1D4F"/>
    <w:rsid w:val="005C376F"/>
    <w:rsid w:val="005C46B0"/>
    <w:rsid w:val="0064657B"/>
    <w:rsid w:val="006A2071"/>
    <w:rsid w:val="006A6AF0"/>
    <w:rsid w:val="006A6B07"/>
    <w:rsid w:val="006B6A28"/>
    <w:rsid w:val="00724E9F"/>
    <w:rsid w:val="0073748C"/>
    <w:rsid w:val="007438F4"/>
    <w:rsid w:val="00781647"/>
    <w:rsid w:val="00781780"/>
    <w:rsid w:val="007A57AC"/>
    <w:rsid w:val="007E2B92"/>
    <w:rsid w:val="007F6B92"/>
    <w:rsid w:val="008059B5"/>
    <w:rsid w:val="00822340"/>
    <w:rsid w:val="00892FCD"/>
    <w:rsid w:val="008A2518"/>
    <w:rsid w:val="008A5CCA"/>
    <w:rsid w:val="008C7B4E"/>
    <w:rsid w:val="008F0273"/>
    <w:rsid w:val="00927367"/>
    <w:rsid w:val="009450F9"/>
    <w:rsid w:val="00950A05"/>
    <w:rsid w:val="00954BC9"/>
    <w:rsid w:val="00964418"/>
    <w:rsid w:val="009761F3"/>
    <w:rsid w:val="00992303"/>
    <w:rsid w:val="009B1EAD"/>
    <w:rsid w:val="009B7216"/>
    <w:rsid w:val="009D2B10"/>
    <w:rsid w:val="009E4417"/>
    <w:rsid w:val="009F0E1A"/>
    <w:rsid w:val="009F7E76"/>
    <w:rsid w:val="00A151C0"/>
    <w:rsid w:val="00A158EE"/>
    <w:rsid w:val="00A21AD9"/>
    <w:rsid w:val="00A4596A"/>
    <w:rsid w:val="00A55D57"/>
    <w:rsid w:val="00A62085"/>
    <w:rsid w:val="00A81D13"/>
    <w:rsid w:val="00A8471A"/>
    <w:rsid w:val="00A860B7"/>
    <w:rsid w:val="00AA3BA7"/>
    <w:rsid w:val="00AD6104"/>
    <w:rsid w:val="00AE23F2"/>
    <w:rsid w:val="00AE5099"/>
    <w:rsid w:val="00B10C7B"/>
    <w:rsid w:val="00B14981"/>
    <w:rsid w:val="00B24E8E"/>
    <w:rsid w:val="00B256DB"/>
    <w:rsid w:val="00B34B6F"/>
    <w:rsid w:val="00B76F7A"/>
    <w:rsid w:val="00B77A90"/>
    <w:rsid w:val="00BB7414"/>
    <w:rsid w:val="00BF6783"/>
    <w:rsid w:val="00C14ADE"/>
    <w:rsid w:val="00C25748"/>
    <w:rsid w:val="00C57A61"/>
    <w:rsid w:val="00C868B7"/>
    <w:rsid w:val="00C874D2"/>
    <w:rsid w:val="00CB6CB8"/>
    <w:rsid w:val="00D01412"/>
    <w:rsid w:val="00D02FC3"/>
    <w:rsid w:val="00D42F9E"/>
    <w:rsid w:val="00D67175"/>
    <w:rsid w:val="00D7381B"/>
    <w:rsid w:val="00D77B53"/>
    <w:rsid w:val="00D96033"/>
    <w:rsid w:val="00DB4170"/>
    <w:rsid w:val="00DB429C"/>
    <w:rsid w:val="00DD067E"/>
    <w:rsid w:val="00E00236"/>
    <w:rsid w:val="00E02413"/>
    <w:rsid w:val="00E104C3"/>
    <w:rsid w:val="00E1670B"/>
    <w:rsid w:val="00E2034F"/>
    <w:rsid w:val="00E37665"/>
    <w:rsid w:val="00E4125F"/>
    <w:rsid w:val="00E43F7A"/>
    <w:rsid w:val="00E94F0B"/>
    <w:rsid w:val="00E97EAA"/>
    <w:rsid w:val="00EC03C7"/>
    <w:rsid w:val="00EC5B30"/>
    <w:rsid w:val="00ED14FB"/>
    <w:rsid w:val="00ED351C"/>
    <w:rsid w:val="00EE68FB"/>
    <w:rsid w:val="00F0562C"/>
    <w:rsid w:val="00F27FC3"/>
    <w:rsid w:val="00F36EE2"/>
    <w:rsid w:val="00F403DC"/>
    <w:rsid w:val="00F57119"/>
    <w:rsid w:val="00F761B8"/>
    <w:rsid w:val="00F852DF"/>
    <w:rsid w:val="00F91950"/>
    <w:rsid w:val="00FB73D1"/>
    <w:rsid w:val="00FE01AE"/>
    <w:rsid w:val="00FE515C"/>
    <w:rsid w:val="6E5272A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8"/>
    <w:unhideWhenUsed/>
    <w:uiPriority w:val="99"/>
    <w:pPr>
      <w:tabs>
        <w:tab w:val="center" w:pos="4153"/>
        <w:tab w:val="right" w:pos="8306"/>
      </w:tabs>
      <w:snapToGrid w:val="0"/>
      <w:jc w:val="left"/>
    </w:pPr>
    <w:rPr>
      <w:sz w:val="18"/>
      <w:szCs w:val="18"/>
    </w:rPr>
  </w:style>
  <w:style w:type="paragraph" w:styleId="3">
    <w:name w:val="header"/>
    <w:basedOn w:val="1"/>
    <w:link w:val="7"/>
    <w:semiHidden/>
    <w:unhideWhenUsed/>
    <w:uiPriority w:val="99"/>
    <w:pPr>
      <w:pBdr>
        <w:bottom w:val="single" w:color="auto" w:sz="6" w:space="1"/>
      </w:pBdr>
      <w:tabs>
        <w:tab w:val="center" w:pos="4153"/>
        <w:tab w:val="right" w:pos="8306"/>
      </w:tabs>
      <w:snapToGrid w:val="0"/>
      <w:jc w:val="center"/>
    </w:pPr>
    <w:rPr>
      <w:sz w:val="18"/>
      <w:szCs w:val="18"/>
    </w:rPr>
  </w:style>
  <w:style w:type="table" w:styleId="5">
    <w:name w:val="Table Grid"/>
    <w:basedOn w:val="4"/>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customStyle="1" w:styleId="7">
    <w:name w:val="页眉 Char"/>
    <w:basedOn w:val="6"/>
    <w:link w:val="3"/>
    <w:semiHidden/>
    <w:uiPriority w:val="99"/>
    <w:rPr>
      <w:sz w:val="18"/>
      <w:szCs w:val="18"/>
    </w:rPr>
  </w:style>
  <w:style w:type="character" w:customStyle="1" w:styleId="8">
    <w:name w:val="页脚 Char"/>
    <w:basedOn w:val="6"/>
    <w:link w:val="2"/>
    <w:uiPriority w:val="99"/>
    <w:rPr>
      <w:sz w:val="18"/>
      <w:szCs w:val="18"/>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Company>Lenovo</Company>
  <Pages>8</Pages>
  <Words>4229</Words>
  <Characters>4324</Characters>
  <Lines>32</Lines>
  <Paragraphs>9</Paragraphs>
  <TotalTime>406</TotalTime>
  <ScaleCrop>false</ScaleCrop>
  <LinksUpToDate>false</LinksUpToDate>
  <CharactersWithSpaces>4473</CharactersWithSpaces>
  <Application>WPS Office_12.1.0.19302_F1E327BC-269C-435d-A152-05C5408002CA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2022-11-28T01:06:00Z</dcterms:created>
  <dc:creator>lenovo</dc:creator>
  <cp:lastModifiedBy>Administrator</cp:lastModifiedBy>
  <cp:lastPrinted>2022-11-29T06:37:00Z</cp:lastPrinted>
  <dcterms:modified xsi:type="dcterms:W3CDTF">2025-11-07T10:10:56Z</dcterms:modified>
  <cp:revision>19</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eyJoZGlkIjoiYzY0MmY5ZGU2YzAwMjM5ZmIzY2U0Zjk5Y2M5NWFkODEifQ==</vt:lpwstr>
  </property>
  <property fmtid="{D5CDD505-2E9C-101B-9397-08002B2CF9AE}" pid="3" name="KSOProductBuildVer">
    <vt:lpwstr>2052-12.1.0.19302</vt:lpwstr>
  </property>
  <property fmtid="{D5CDD505-2E9C-101B-9397-08002B2CF9AE}" pid="4" name="ICV">
    <vt:lpwstr>7BA8B442DF484558B1F5FAC690865D10_12</vt:lpwstr>
  </property>
</Properties>
</file>