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4940"/>
        </w:tabs>
        <w:wordWrap w:val="0"/>
        <w:ind w:right="640"/>
        <w:rPr>
          <w:rFonts w:hint="eastAsia" w:ascii="Times New Roman" w:hAnsi="黑体" w:eastAsia="黑体"/>
          <w:sz w:val="32"/>
          <w:szCs w:val="32"/>
        </w:rPr>
      </w:pPr>
      <w:r>
        <w:rPr>
          <w:rFonts w:ascii="Times New Roman" w:hAnsi="黑体" w:eastAsia="黑体"/>
          <w:sz w:val="32"/>
          <w:szCs w:val="32"/>
        </w:rPr>
        <w:t>附件</w:t>
      </w:r>
    </w:p>
    <w:p>
      <w:pPr>
        <w:tabs>
          <w:tab w:val="left" w:pos="4940"/>
        </w:tabs>
        <w:wordWrap w:val="0"/>
        <w:snapToGrid w:val="0"/>
        <w:ind w:right="641"/>
        <w:rPr>
          <w:rFonts w:ascii="Times New Roman" w:hAnsi="Times New Roman" w:eastAsia="黑体"/>
          <w:sz w:val="32"/>
          <w:szCs w:val="32"/>
        </w:rPr>
      </w:pPr>
    </w:p>
    <w:p>
      <w:pPr>
        <w:tabs>
          <w:tab w:val="left" w:pos="4940"/>
        </w:tabs>
        <w:ind w:right="55"/>
        <w:jc w:val="center"/>
        <w:rPr>
          <w:rFonts w:ascii="Times New Roman" w:hAnsi="Times New Roman" w:eastAsia="方正小标宋_GBK"/>
          <w:spacing w:val="-20"/>
          <w:sz w:val="36"/>
          <w:szCs w:val="36"/>
        </w:rPr>
      </w:pPr>
      <w:bookmarkStart w:id="0" w:name="_GoBack"/>
      <w:r>
        <w:rPr>
          <w:rFonts w:ascii="Times New Roman" w:hAnsi="Times New Roman" w:eastAsia="方正小标宋_GBK"/>
          <w:spacing w:val="-20"/>
          <w:sz w:val="36"/>
          <w:szCs w:val="36"/>
        </w:rPr>
        <w:t>全省公共文化服务“十佳案例”、优秀案例名单</w:t>
      </w:r>
    </w:p>
    <w:bookmarkEnd w:id="0"/>
    <w:p>
      <w:r>
        <w:rPr>
          <w:rFonts w:ascii="Times New Roman" w:hAnsi="Times New Roman" w:eastAsia="仿宋"/>
          <w:sz w:val="32"/>
          <w:szCs w:val="32"/>
        </w:rPr>
        <w:drawing>
          <wp:inline distT="0" distB="0" distL="114300" distR="114300">
            <wp:extent cx="5755005" cy="7319010"/>
            <wp:effectExtent l="0" t="0" r="10795" b="2159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55005" cy="7319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1"/>
    <w:family w:val="swiss"/>
    <w:pitch w:val="default"/>
    <w:sig w:usb0="00000000" w:usb1="00000000" w:usb2="00000000" w:usb3="00000000" w:csb0="00000000" w:csb1="0000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0000" w:usb1="00000000" w:usb2="00000000" w:usb3="00000000" w:csb0="00000000" w:csb1="0000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Helvetica Neue">
    <w:panose1 w:val="02000503000000020004"/>
    <w:charset w:val="00"/>
    <w:family w:val="auto"/>
    <w:pitch w:val="default"/>
    <w:sig w:usb0="00000000" w:usb1="00000000" w:usb2="00000000" w:usb3="00000000" w:csb0="00000000" w:csb1="00000000"/>
  </w:font>
  <w:font w:name="汉仪中黑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Kingsoft Sign">
    <w:panose1 w:val="05050102010706020507"/>
    <w:charset w:val="00"/>
    <w:family w:val="auto"/>
    <w:pitch w:val="default"/>
    <w:sig w:usb0="00000000" w:usb1="00000000" w:usb2="00000000" w:usb3="00000000" w:csb0="00000000" w:csb1="00000000"/>
  </w:font>
  <w:font w:name="方正小标宋_GBK">
    <w:altName w:val="汉仪书宋二KW"/>
    <w:panose1 w:val="03000509000000000000"/>
    <w:charset w:val="00"/>
    <w:family w:val="script"/>
    <w:pitch w:val="default"/>
    <w:sig w:usb0="00000000" w:usb1="00000000" w:usb2="00000010" w:usb3="00000000" w:csb0="00040000" w:csb1="00000000"/>
  </w:font>
  <w:font w:name="仿宋">
    <w:altName w:val="方正仿宋_GBK"/>
    <w:panose1 w:val="02010609060101010101"/>
    <w:charset w:val="00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0" w:usb1="00000000" w:usb2="00000000" w:usb3="00000000" w:csb0="0016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8B9F40"/>
    <w:rsid w:val="4F8B9F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emf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Office_6.0.2.8225_F1E327BC-269C-435d-A152-05C5408002CA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2023-09-25T11:10:00Z</dcterms:created>
  <dc:creator>小叶子</dc:creator>
  <cp:lastModifiedBy>小叶子</cp:lastModifiedBy>
  <dcterms:modified xsi:type="dcterms:W3CDTF">2023-09-25T11:11:19Z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2052-6.0.2.8225</vt:lpwstr>
  </property>
  <property fmtid="{D5CDD505-2E9C-101B-9397-08002B2CF9AE}" pid="3" name="ICV">
    <vt:lpwstr>440C975825C46B5924FA1065FBED5DA1_41</vt:lpwstr>
  </property>
</Properties>
</file>