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spacing w:line="580" w:lineRule="exact"/>
        <w:rPr>
          <w:rFonts w:hint="eastAsia"/>
          <w:color w:val="000000"/>
          <w:kern w:val="32"/>
        </w:rPr>
      </w:pPr>
    </w:p>
    <w:p>
      <w:pPr>
        <w:spacing w:line="480" w:lineRule="exact"/>
        <w:ind w:firstLine="0"/>
        <w:rPr>
          <w:rFonts w:hint="eastAsia" w:eastAsia="黑体"/>
          <w:color w:val="000000"/>
        </w:rPr>
      </w:pPr>
      <w:bookmarkStart w:id="0" w:name="_GoBack"/>
      <w:bookmarkEnd w:id="0"/>
      <w:r>
        <w:rPr>
          <w:rFonts w:hint="eastAsia" w:eastAsia="黑体"/>
          <w:color w:val="000000"/>
        </w:rPr>
        <w:t>附件</w:t>
      </w:r>
    </w:p>
    <w:p>
      <w:pPr>
        <w:spacing w:line="480" w:lineRule="exact"/>
        <w:ind w:firstLine="0"/>
        <w:rPr>
          <w:rFonts w:hint="eastAsia" w:eastAsia="黑体"/>
          <w:color w:val="000000"/>
        </w:rPr>
      </w:pPr>
    </w:p>
    <w:p>
      <w:pPr>
        <w:pStyle w:val="9"/>
        <w:spacing w:line="480" w:lineRule="exact"/>
        <w:rPr>
          <w:rFonts w:hint="eastAsia"/>
          <w:color w:val="000000"/>
          <w:kern w:val="32"/>
        </w:rPr>
      </w:pPr>
      <w:r>
        <w:rPr>
          <w:rFonts w:hint="eastAsia"/>
          <w:color w:val="000000"/>
          <w:kern w:val="32"/>
        </w:rPr>
        <w:t>2025年第一季度文旅促消费拟奖补事项（项目）名单</w:t>
      </w:r>
    </w:p>
    <w:p>
      <w:pPr>
        <w:spacing w:line="440" w:lineRule="exact"/>
        <w:ind w:firstLine="0"/>
        <w:jc w:val="center"/>
        <w:rPr>
          <w:rFonts w:hint="eastAsia" w:eastAsia="仿宋"/>
          <w:color w:val="000000"/>
          <w:szCs w:val="32"/>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418"/>
        <w:gridCol w:w="2268"/>
        <w:gridCol w:w="4961"/>
        <w:gridCol w:w="4111"/>
        <w:gridCol w:w="1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675" w:type="dxa"/>
            <w:vAlign w:val="center"/>
          </w:tcPr>
          <w:p>
            <w:pPr>
              <w:spacing w:line="440" w:lineRule="exact"/>
              <w:ind w:firstLine="0"/>
              <w:jc w:val="center"/>
              <w:rPr>
                <w:rFonts w:hint="eastAsia" w:eastAsia="黑体"/>
                <w:color w:val="000000"/>
                <w:sz w:val="28"/>
                <w:szCs w:val="28"/>
              </w:rPr>
            </w:pPr>
            <w:r>
              <w:rPr>
                <w:rFonts w:hint="eastAsia" w:eastAsia="黑体"/>
                <w:color w:val="000000"/>
                <w:sz w:val="28"/>
                <w:szCs w:val="28"/>
              </w:rPr>
              <w:t>序</w:t>
            </w:r>
          </w:p>
          <w:p>
            <w:pPr>
              <w:spacing w:line="440" w:lineRule="exact"/>
              <w:ind w:firstLine="0"/>
              <w:jc w:val="center"/>
              <w:rPr>
                <w:rFonts w:eastAsia="黑体"/>
                <w:color w:val="000000"/>
                <w:sz w:val="28"/>
                <w:szCs w:val="28"/>
              </w:rPr>
            </w:pPr>
            <w:r>
              <w:rPr>
                <w:rFonts w:hint="eastAsia" w:eastAsia="黑体"/>
                <w:color w:val="000000"/>
                <w:sz w:val="28"/>
                <w:szCs w:val="28"/>
              </w:rPr>
              <w:t>号</w:t>
            </w:r>
          </w:p>
        </w:tc>
        <w:tc>
          <w:tcPr>
            <w:tcW w:w="3686" w:type="dxa"/>
            <w:gridSpan w:val="2"/>
            <w:vAlign w:val="center"/>
          </w:tcPr>
          <w:p>
            <w:pPr>
              <w:spacing w:line="440" w:lineRule="exact"/>
              <w:ind w:firstLine="0"/>
              <w:jc w:val="center"/>
              <w:rPr>
                <w:rFonts w:eastAsia="黑体"/>
                <w:color w:val="000000"/>
                <w:sz w:val="28"/>
                <w:szCs w:val="28"/>
              </w:rPr>
            </w:pPr>
            <w:r>
              <w:rPr>
                <w:rFonts w:hint="eastAsia" w:eastAsia="黑体"/>
                <w:color w:val="000000"/>
                <w:sz w:val="28"/>
                <w:szCs w:val="28"/>
              </w:rPr>
              <w:t>类别</w:t>
            </w:r>
          </w:p>
        </w:tc>
        <w:tc>
          <w:tcPr>
            <w:tcW w:w="4961" w:type="dxa"/>
            <w:vAlign w:val="center"/>
          </w:tcPr>
          <w:p>
            <w:pPr>
              <w:spacing w:line="440" w:lineRule="exact"/>
              <w:ind w:firstLine="0"/>
              <w:jc w:val="center"/>
              <w:rPr>
                <w:rFonts w:eastAsia="黑体"/>
                <w:color w:val="000000"/>
                <w:sz w:val="28"/>
                <w:szCs w:val="28"/>
              </w:rPr>
            </w:pPr>
            <w:r>
              <w:rPr>
                <w:rFonts w:hint="eastAsia" w:eastAsia="黑体"/>
                <w:color w:val="000000"/>
                <w:sz w:val="28"/>
                <w:szCs w:val="28"/>
              </w:rPr>
              <w:t>事项（项目）</w:t>
            </w:r>
          </w:p>
        </w:tc>
        <w:tc>
          <w:tcPr>
            <w:tcW w:w="4111" w:type="dxa"/>
            <w:vAlign w:val="center"/>
          </w:tcPr>
          <w:p>
            <w:pPr>
              <w:spacing w:line="440" w:lineRule="exact"/>
              <w:ind w:firstLine="0"/>
              <w:jc w:val="center"/>
              <w:rPr>
                <w:rFonts w:eastAsia="黑体"/>
                <w:color w:val="000000"/>
                <w:sz w:val="28"/>
                <w:szCs w:val="28"/>
              </w:rPr>
            </w:pPr>
            <w:r>
              <w:rPr>
                <w:rFonts w:hint="eastAsia" w:eastAsia="黑体"/>
                <w:color w:val="000000"/>
                <w:sz w:val="28"/>
                <w:szCs w:val="28"/>
              </w:rPr>
              <w:t>实施主体</w:t>
            </w:r>
          </w:p>
        </w:tc>
        <w:tc>
          <w:tcPr>
            <w:tcW w:w="1353" w:type="dxa"/>
            <w:vAlign w:val="center"/>
          </w:tcPr>
          <w:p>
            <w:pPr>
              <w:spacing w:line="440" w:lineRule="exact"/>
              <w:ind w:firstLine="0"/>
              <w:jc w:val="center"/>
              <w:rPr>
                <w:rFonts w:hint="eastAsia" w:eastAsia="黑体"/>
                <w:color w:val="000000"/>
                <w:sz w:val="28"/>
                <w:szCs w:val="28"/>
              </w:rPr>
            </w:pPr>
            <w:r>
              <w:rPr>
                <w:rFonts w:hint="eastAsia" w:eastAsia="黑体"/>
                <w:color w:val="000000"/>
                <w:sz w:val="28"/>
                <w:szCs w:val="28"/>
              </w:rPr>
              <w:t>报送地区</w:t>
            </w:r>
          </w:p>
          <w:p>
            <w:pPr>
              <w:spacing w:line="440" w:lineRule="exact"/>
              <w:ind w:firstLine="0"/>
              <w:jc w:val="center"/>
              <w:rPr>
                <w:rFonts w:eastAsia="黑体"/>
                <w:color w:val="000000"/>
                <w:sz w:val="28"/>
                <w:szCs w:val="28"/>
              </w:rPr>
            </w:pPr>
            <w:r>
              <w:rPr>
                <w:rFonts w:hint="eastAsia" w:eastAsia="黑体"/>
                <w:color w:val="000000"/>
                <w:sz w:val="28"/>
                <w:szCs w:val="28"/>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w:t>
            </w:r>
          </w:p>
        </w:tc>
        <w:tc>
          <w:tcPr>
            <w:tcW w:w="3686" w:type="dxa"/>
            <w:gridSpan w:val="2"/>
            <w:vMerge w:val="restart"/>
            <w:vAlign w:val="center"/>
          </w:tcPr>
          <w:p>
            <w:pPr>
              <w:spacing w:line="440" w:lineRule="exact"/>
              <w:ind w:firstLine="0"/>
              <w:rPr>
                <w:rFonts w:eastAsia="仿宋"/>
                <w:color w:val="000000"/>
                <w:sz w:val="28"/>
                <w:szCs w:val="28"/>
              </w:rPr>
            </w:pPr>
            <w:r>
              <w:rPr>
                <w:rFonts w:hint="eastAsia" w:eastAsia="仿宋"/>
                <w:color w:val="000000"/>
                <w:sz w:val="28"/>
                <w:szCs w:val="28"/>
              </w:rPr>
              <w:t>举办演唱会、音乐节</w:t>
            </w: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李荣浩“黑马”世界巡回演唱会南京站</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江苏星华文化演艺有限公司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2</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凤凰传奇“吉祥如意”2025巡回演唱会－苏州站</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江苏中高文体产业有限公司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3</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银河左岸扬州枣林湾音乐节</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常州星野旅游发展有限公司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扬州市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4</w:t>
            </w:r>
          </w:p>
        </w:tc>
        <w:tc>
          <w:tcPr>
            <w:tcW w:w="3686" w:type="dxa"/>
            <w:gridSpan w:val="2"/>
            <w:vMerge w:val="restart"/>
            <w:vAlign w:val="center"/>
          </w:tcPr>
          <w:p>
            <w:pPr>
              <w:spacing w:line="440" w:lineRule="exact"/>
              <w:ind w:firstLine="0"/>
              <w:rPr>
                <w:rFonts w:eastAsia="仿宋"/>
                <w:color w:val="000000"/>
                <w:sz w:val="28"/>
                <w:szCs w:val="28"/>
              </w:rPr>
            </w:pPr>
            <w:r>
              <w:rPr>
                <w:rFonts w:hint="eastAsia" w:eastAsia="仿宋"/>
                <w:color w:val="000000"/>
                <w:sz w:val="28"/>
                <w:szCs w:val="28"/>
              </w:rPr>
              <w:t>优秀剧目文艺演出</w:t>
            </w: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江苏大剧院原创民族舞剧《红楼梦》</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江苏大剧院运营管理有限公司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省直单位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5</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荔枝新年音乐会－意大利安东尼亚诺小合唱团专场</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江苏东部文化传播有限公司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6</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世界经典原版音乐剧《猫》CATS</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苏州狮山大剧院管理有限公司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7</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二狗超长互动《你好，小方》漫才专场&amp;二狗互动交友专场《一条名叫爱情的狗》苏州湾站</w:t>
            </w:r>
          </w:p>
        </w:tc>
        <w:tc>
          <w:tcPr>
            <w:tcW w:w="4111" w:type="dxa"/>
            <w:vAlign w:val="center"/>
          </w:tcPr>
          <w:p>
            <w:pPr>
              <w:spacing w:line="440" w:lineRule="exact"/>
              <w:ind w:firstLine="0"/>
              <w:rPr>
                <w:rFonts w:eastAsia="仿宋"/>
                <w:color w:val="000000"/>
                <w:spacing w:val="-2"/>
                <w:sz w:val="28"/>
                <w:szCs w:val="28"/>
              </w:rPr>
            </w:pPr>
            <w:r>
              <w:rPr>
                <w:rFonts w:hint="eastAsia" w:eastAsia="仿宋"/>
                <w:color w:val="000000"/>
                <w:spacing w:val="-2"/>
                <w:sz w:val="28"/>
                <w:szCs w:val="28"/>
              </w:rPr>
              <w:t>苏州市苏州湾剧院管理有限公司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8</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pacing w:val="-4"/>
                <w:sz w:val="28"/>
                <w:szCs w:val="28"/>
              </w:rPr>
            </w:pPr>
            <w:r>
              <w:rPr>
                <w:rFonts w:hint="eastAsia" w:eastAsia="仿宋"/>
                <w:color w:val="000000"/>
                <w:spacing w:val="-4"/>
                <w:sz w:val="28"/>
                <w:szCs w:val="28"/>
              </w:rPr>
              <w:t>二狗个人互动专场《一条名叫爱情的狗》</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扬州市文化投资管理有限公司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扬州市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9</w:t>
            </w:r>
          </w:p>
        </w:tc>
        <w:tc>
          <w:tcPr>
            <w:tcW w:w="1418" w:type="dxa"/>
            <w:vMerge w:val="restart"/>
            <w:vAlign w:val="center"/>
          </w:tcPr>
          <w:p>
            <w:pPr>
              <w:spacing w:line="440" w:lineRule="exact"/>
              <w:ind w:firstLine="0"/>
              <w:rPr>
                <w:rFonts w:eastAsia="仿宋"/>
                <w:sz w:val="28"/>
                <w:szCs w:val="28"/>
              </w:rPr>
            </w:pPr>
            <w:r>
              <w:rPr>
                <w:rFonts w:hint="eastAsia" w:eastAsia="仿宋"/>
                <w:sz w:val="28"/>
                <w:szCs w:val="28"/>
              </w:rPr>
              <w:t>促进入境旅游恢复发展</w:t>
            </w:r>
          </w:p>
        </w:tc>
        <w:tc>
          <w:tcPr>
            <w:tcW w:w="2268" w:type="dxa"/>
            <w:vMerge w:val="restart"/>
            <w:vAlign w:val="center"/>
          </w:tcPr>
          <w:p>
            <w:pPr>
              <w:spacing w:line="440" w:lineRule="exact"/>
              <w:ind w:firstLine="0"/>
              <w:rPr>
                <w:rFonts w:eastAsia="仿宋"/>
                <w:sz w:val="28"/>
                <w:szCs w:val="28"/>
              </w:rPr>
            </w:pPr>
            <w:r>
              <w:rPr>
                <w:rFonts w:hint="eastAsia" w:eastAsia="仿宋"/>
                <w:sz w:val="28"/>
                <w:szCs w:val="28"/>
              </w:rPr>
              <w:t>旅行社赴境外参加国际旅游展会或重要旅游推广活动并组织团组来江苏旅游</w:t>
            </w: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赴中国香港参加香港旅游博览会2025并组织团组来江苏旅游</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中国康辉南京国际旅行社有限责任公司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10</w:t>
            </w:r>
          </w:p>
        </w:tc>
        <w:tc>
          <w:tcPr>
            <w:tcW w:w="1418" w:type="dxa"/>
            <w:vMerge w:val="continue"/>
            <w:vAlign w:val="center"/>
          </w:tcPr>
          <w:p>
            <w:pPr>
              <w:spacing w:line="440" w:lineRule="exact"/>
              <w:ind w:firstLine="0"/>
              <w:rPr>
                <w:rFonts w:eastAsia="仿宋"/>
                <w:color w:val="000000"/>
                <w:sz w:val="28"/>
                <w:szCs w:val="28"/>
              </w:rPr>
            </w:pPr>
          </w:p>
        </w:tc>
        <w:tc>
          <w:tcPr>
            <w:tcW w:w="2268" w:type="dxa"/>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赴马来西亚参加马来西亚国际旅游展（MITM Travel Fair 2025）并组织团组来江苏旅游</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中国康辉南京国际旅行社有限责任公司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11</w:t>
            </w:r>
          </w:p>
        </w:tc>
        <w:tc>
          <w:tcPr>
            <w:tcW w:w="3686" w:type="dxa"/>
            <w:gridSpan w:val="2"/>
            <w:vMerge w:val="restart"/>
            <w:vAlign w:val="center"/>
          </w:tcPr>
          <w:p>
            <w:pPr>
              <w:spacing w:line="440" w:lineRule="exact"/>
              <w:ind w:firstLine="0"/>
              <w:rPr>
                <w:rFonts w:eastAsia="仿宋"/>
                <w:sz w:val="28"/>
                <w:szCs w:val="28"/>
              </w:rPr>
            </w:pPr>
            <w:r>
              <w:rPr>
                <w:rFonts w:hint="eastAsia" w:eastAsia="仿宋"/>
                <w:sz w:val="28"/>
                <w:szCs w:val="28"/>
              </w:rPr>
              <w:t>商旅文体融合促消费活动</w:t>
            </w: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环球恐龙城2025常州灯会</w:t>
            </w:r>
          </w:p>
        </w:tc>
        <w:tc>
          <w:tcPr>
            <w:tcW w:w="4111" w:type="dxa"/>
            <w:vAlign w:val="center"/>
          </w:tcPr>
          <w:p>
            <w:pPr>
              <w:spacing w:line="440" w:lineRule="exact"/>
              <w:ind w:firstLine="0"/>
              <w:rPr>
                <w:rFonts w:eastAsia="仿宋"/>
                <w:color w:val="000000"/>
                <w:spacing w:val="-2"/>
                <w:sz w:val="28"/>
                <w:szCs w:val="28"/>
              </w:rPr>
            </w:pPr>
            <w:r>
              <w:rPr>
                <w:rFonts w:hint="eastAsia" w:eastAsia="仿宋"/>
                <w:color w:val="000000"/>
                <w:spacing w:val="-2"/>
                <w:sz w:val="28"/>
                <w:szCs w:val="28"/>
              </w:rPr>
              <w:t>常州迪诺水镇商业管理有限公司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常州市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12</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“水韵江苏·有你会更美”狮山市集</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苏州苏高新商业发展有限公司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13</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水韵江苏有你会更美——2025淮安文旅嘉年华·乐购清江浦年货大集</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淮安国际博览管理有限公司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淮安市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14</w:t>
            </w:r>
          </w:p>
        </w:tc>
        <w:tc>
          <w:tcPr>
            <w:tcW w:w="3686" w:type="dxa"/>
            <w:gridSpan w:val="2"/>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“水韵江苏·欢欢喜喜过大年”冬季文旅消费活动建湖县配套活动</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建湖县旅游发展有限公司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15</w:t>
            </w:r>
          </w:p>
        </w:tc>
        <w:tc>
          <w:tcPr>
            <w:tcW w:w="1418" w:type="dxa"/>
            <w:vMerge w:val="restart"/>
            <w:vAlign w:val="center"/>
          </w:tcPr>
          <w:p>
            <w:pPr>
              <w:spacing w:line="440" w:lineRule="exact"/>
              <w:ind w:firstLine="0"/>
              <w:rPr>
                <w:rFonts w:eastAsia="仿宋"/>
                <w:color w:val="000000"/>
                <w:sz w:val="28"/>
                <w:szCs w:val="28"/>
              </w:rPr>
            </w:pPr>
            <w:r>
              <w:rPr>
                <w:rFonts w:hint="eastAsia" w:eastAsia="仿宋"/>
                <w:color w:val="000000"/>
                <w:sz w:val="28"/>
                <w:szCs w:val="28"/>
              </w:rPr>
              <w:t>发展文旅新业态</w:t>
            </w:r>
          </w:p>
        </w:tc>
        <w:tc>
          <w:tcPr>
            <w:tcW w:w="2268" w:type="dxa"/>
            <w:vMerge w:val="restart"/>
            <w:vAlign w:val="center"/>
          </w:tcPr>
          <w:p>
            <w:pPr>
              <w:spacing w:line="440" w:lineRule="exact"/>
              <w:ind w:firstLine="0"/>
              <w:rPr>
                <w:rFonts w:eastAsia="仿宋"/>
                <w:color w:val="000000"/>
                <w:spacing w:val="-6"/>
                <w:sz w:val="28"/>
                <w:szCs w:val="28"/>
              </w:rPr>
            </w:pPr>
            <w:r>
              <w:rPr>
                <w:rFonts w:hint="eastAsia" w:eastAsia="仿宋"/>
                <w:color w:val="000000"/>
                <w:spacing w:val="-6"/>
                <w:sz w:val="28"/>
                <w:szCs w:val="28"/>
              </w:rPr>
              <w:t>邮轮游艇、房车露营、低空飞行等新业态项目</w:t>
            </w: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增购低空旅游多用途直升机项目</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江苏吴越通用航空有限公司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无锡市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16</w:t>
            </w:r>
          </w:p>
        </w:tc>
        <w:tc>
          <w:tcPr>
            <w:tcW w:w="1418" w:type="dxa"/>
            <w:vMerge w:val="continue"/>
            <w:vAlign w:val="center"/>
          </w:tcPr>
          <w:p>
            <w:pPr>
              <w:spacing w:line="440" w:lineRule="exact"/>
              <w:ind w:firstLine="0"/>
              <w:rPr>
                <w:rFonts w:eastAsia="仿宋"/>
                <w:color w:val="000000"/>
                <w:sz w:val="28"/>
                <w:szCs w:val="28"/>
              </w:rPr>
            </w:pPr>
          </w:p>
        </w:tc>
        <w:tc>
          <w:tcPr>
            <w:tcW w:w="2268" w:type="dxa"/>
            <w:vMerge w:val="continue"/>
            <w:vAlign w:val="center"/>
          </w:tcPr>
          <w:p>
            <w:pPr>
              <w:spacing w:line="440" w:lineRule="exact"/>
              <w:ind w:firstLine="0"/>
              <w:rPr>
                <w:rFonts w:eastAsia="仿宋"/>
                <w:color w:val="000000"/>
                <w:sz w:val="28"/>
                <w:szCs w:val="28"/>
              </w:rPr>
            </w:pPr>
          </w:p>
        </w:tc>
        <w:tc>
          <w:tcPr>
            <w:tcW w:w="4961" w:type="dxa"/>
            <w:vAlign w:val="center"/>
          </w:tcPr>
          <w:p>
            <w:pPr>
              <w:spacing w:line="440" w:lineRule="exact"/>
              <w:ind w:firstLine="0"/>
              <w:rPr>
                <w:rFonts w:eastAsia="仿宋"/>
                <w:color w:val="000000"/>
                <w:sz w:val="28"/>
                <w:szCs w:val="28"/>
              </w:rPr>
            </w:pPr>
            <w:r>
              <w:rPr>
                <w:rFonts w:hint="eastAsia" w:eastAsia="仿宋"/>
                <w:color w:val="000000"/>
                <w:sz w:val="28"/>
                <w:szCs w:val="28"/>
              </w:rPr>
              <w:t>千金台景区·汉文化体验馆沉浸式演出</w:t>
            </w:r>
          </w:p>
        </w:tc>
        <w:tc>
          <w:tcPr>
            <w:tcW w:w="4111" w:type="dxa"/>
            <w:vAlign w:val="center"/>
          </w:tcPr>
          <w:p>
            <w:pPr>
              <w:spacing w:line="440" w:lineRule="exact"/>
              <w:ind w:firstLine="0"/>
              <w:rPr>
                <w:rFonts w:eastAsia="仿宋"/>
                <w:color w:val="000000"/>
                <w:sz w:val="28"/>
                <w:szCs w:val="28"/>
              </w:rPr>
            </w:pPr>
            <w:r>
              <w:rPr>
                <w:rFonts w:hint="eastAsia" w:eastAsia="仿宋"/>
                <w:color w:val="000000"/>
                <w:sz w:val="28"/>
                <w:szCs w:val="28"/>
              </w:rPr>
              <w:t>江苏西河文化发展有限公司</w:t>
            </w:r>
          </w:p>
        </w:tc>
        <w:tc>
          <w:tcPr>
            <w:tcW w:w="1353" w:type="dxa"/>
            <w:vAlign w:val="center"/>
          </w:tcPr>
          <w:p>
            <w:pPr>
              <w:spacing w:line="440" w:lineRule="exact"/>
              <w:ind w:firstLine="0"/>
              <w:jc w:val="center"/>
              <w:rPr>
                <w:rFonts w:eastAsia="仿宋"/>
                <w:color w:val="000000"/>
                <w:sz w:val="28"/>
                <w:szCs w:val="28"/>
              </w:rPr>
            </w:pPr>
            <w:r>
              <w:rPr>
                <w:rFonts w:hint="eastAsia" w:eastAsia="仿宋"/>
                <w:color w:val="000000"/>
                <w:sz w:val="28"/>
                <w:szCs w:val="28"/>
              </w:rPr>
              <w:t>淮安市</w:t>
            </w:r>
          </w:p>
        </w:tc>
      </w:tr>
    </w:tbl>
    <w:p>
      <w:pPr>
        <w:spacing w:line="440" w:lineRule="exact"/>
        <w:ind w:firstLine="0"/>
        <w:jc w:val="center"/>
        <w:rPr>
          <w:rFonts w:eastAsia="仿宋"/>
          <w:color w:val="000000"/>
          <w:sz w:val="28"/>
          <w:szCs w:val="28"/>
        </w:rPr>
      </w:pPr>
    </w:p>
    <w:sectPr>
      <w:footerReference r:id="rId5" w:type="default"/>
      <w:footerReference r:id="rId6" w:type="even"/>
      <w:pgSz w:w="16838" w:h="11906" w:orient="landscape"/>
      <w:pgMar w:top="1531" w:right="1134" w:bottom="1531" w:left="1134" w:header="720" w:footer="1474" w:gutter="0"/>
      <w:cols w:space="720" w:num="1"/>
      <w:docGrid w:type="line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9103296"/>
      <w:docPartObj>
        <w:docPartGallery w:val="AutoText"/>
      </w:docPartObj>
    </w:sdtPr>
    <w:sdtContent>
      <w:p>
        <w:pPr>
          <w:pStyle w:val="3"/>
          <w:jc w:val="right"/>
        </w:pPr>
        <w:r>
          <w:rPr>
            <w:rFonts w:hint="eastAsia"/>
          </w:rPr>
          <w:t xml:space="preserve">— </w:t>
        </w:r>
        <w:r>
          <w:fldChar w:fldCharType="begin"/>
        </w:r>
        <w:r>
          <w:instrText xml:space="preserve">PAGE   \* MERGEFORMAT</w:instrText>
        </w:r>
        <w:r>
          <w:fldChar w:fldCharType="separate"/>
        </w:r>
        <w:r>
          <w:rPr>
            <w:lang w:val="zh-CN"/>
          </w:rPr>
          <w:t>1</w:t>
        </w:r>
        <w:r>
          <w:fldChar w:fldCharType="end"/>
        </w:r>
        <w:r>
          <w:rPr>
            <w:rFonts w:hint="eastAsia"/>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left="320" w:leftChars="100" w:right="320" w:rightChars="100"/>
      <w:jc w:val="both"/>
    </w:pPr>
    <w:r>
      <w:rPr>
        <w:rFonts w:hint="eastAsia"/>
      </w:rPr>
      <w:t xml:space="preserve">— </w:t>
    </w:r>
    <w:r>
      <w:rPr>
        <w:rStyle w:val="8"/>
      </w:rPr>
      <w:fldChar w:fldCharType="begin"/>
    </w:r>
    <w:r>
      <w:rPr>
        <w:rStyle w:val="8"/>
      </w:rPr>
      <w:instrText xml:space="preserve"> PAGE </w:instrText>
    </w:r>
    <w:r>
      <w:rPr>
        <w:rStyle w:val="8"/>
      </w:rPr>
      <w:fldChar w:fldCharType="separate"/>
    </w:r>
    <w:r>
      <w:rPr>
        <w:rStyle w:val="8"/>
      </w:rPr>
      <w:t>2</w:t>
    </w:r>
    <w:r>
      <w:rPr>
        <w:rStyle w:val="8"/>
      </w:rPr>
      <w:fldChar w:fldCharType="end"/>
    </w:r>
    <w:r>
      <w:rPr>
        <w:rStyle w:val="8"/>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20"/>
  <w:evenAndOddHeaders w:val="1"/>
  <w:drawingGridHorizontalSpacing w:val="315"/>
  <w:drawingGridVerticalSpacing w:val="295"/>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JmYmVhMGQ2YWQwOTc0ZDFkYmVkZTE0NzFkNThlYzIifQ=="/>
    <w:docVar w:name="KSO_WPS_MARK_KEY" w:val="88319a42-0639-4cfb-a7fc-fee6b6e85f10"/>
  </w:docVars>
  <w:rsids>
    <w:rsidRoot w:val="00CE5545"/>
    <w:rsid w:val="00003D93"/>
    <w:rsid w:val="00006EC3"/>
    <w:rsid w:val="000145F6"/>
    <w:rsid w:val="0001545A"/>
    <w:rsid w:val="00021EF2"/>
    <w:rsid w:val="000249F9"/>
    <w:rsid w:val="0003145D"/>
    <w:rsid w:val="00037D11"/>
    <w:rsid w:val="00044AAF"/>
    <w:rsid w:val="0004523F"/>
    <w:rsid w:val="00053470"/>
    <w:rsid w:val="00066A1A"/>
    <w:rsid w:val="000743F0"/>
    <w:rsid w:val="00080B14"/>
    <w:rsid w:val="00081162"/>
    <w:rsid w:val="00082BF2"/>
    <w:rsid w:val="00085FDC"/>
    <w:rsid w:val="000904A4"/>
    <w:rsid w:val="00097A32"/>
    <w:rsid w:val="00097BA1"/>
    <w:rsid w:val="000A2C2B"/>
    <w:rsid w:val="000B2910"/>
    <w:rsid w:val="000C1E3B"/>
    <w:rsid w:val="000C409E"/>
    <w:rsid w:val="000E29AB"/>
    <w:rsid w:val="000F6DEE"/>
    <w:rsid w:val="000F7472"/>
    <w:rsid w:val="00120B12"/>
    <w:rsid w:val="001226DB"/>
    <w:rsid w:val="001276E0"/>
    <w:rsid w:val="00132D69"/>
    <w:rsid w:val="00143DAF"/>
    <w:rsid w:val="00161445"/>
    <w:rsid w:val="0018798F"/>
    <w:rsid w:val="00191C34"/>
    <w:rsid w:val="001A3854"/>
    <w:rsid w:val="001B27A8"/>
    <w:rsid w:val="001D1EF1"/>
    <w:rsid w:val="001D3639"/>
    <w:rsid w:val="001F6379"/>
    <w:rsid w:val="00213486"/>
    <w:rsid w:val="00216E68"/>
    <w:rsid w:val="00221A8E"/>
    <w:rsid w:val="002313D8"/>
    <w:rsid w:val="00242DCD"/>
    <w:rsid w:val="00246F0C"/>
    <w:rsid w:val="00247911"/>
    <w:rsid w:val="00291B6F"/>
    <w:rsid w:val="00295181"/>
    <w:rsid w:val="00297F79"/>
    <w:rsid w:val="002A4F01"/>
    <w:rsid w:val="002C38A1"/>
    <w:rsid w:val="002D34CF"/>
    <w:rsid w:val="003004DC"/>
    <w:rsid w:val="00352EAA"/>
    <w:rsid w:val="003875E2"/>
    <w:rsid w:val="00397B46"/>
    <w:rsid w:val="003A5E23"/>
    <w:rsid w:val="003B393B"/>
    <w:rsid w:val="003B4EC4"/>
    <w:rsid w:val="003C306F"/>
    <w:rsid w:val="003C4EED"/>
    <w:rsid w:val="003E7C82"/>
    <w:rsid w:val="00402BC2"/>
    <w:rsid w:val="00405560"/>
    <w:rsid w:val="00410BD7"/>
    <w:rsid w:val="00434BDE"/>
    <w:rsid w:val="004363FA"/>
    <w:rsid w:val="00437FDE"/>
    <w:rsid w:val="00442753"/>
    <w:rsid w:val="004465D4"/>
    <w:rsid w:val="0045345A"/>
    <w:rsid w:val="00460E9D"/>
    <w:rsid w:val="004664FC"/>
    <w:rsid w:val="00466661"/>
    <w:rsid w:val="00472D4D"/>
    <w:rsid w:val="00473AA9"/>
    <w:rsid w:val="004858D8"/>
    <w:rsid w:val="004B654A"/>
    <w:rsid w:val="004F3274"/>
    <w:rsid w:val="00500F09"/>
    <w:rsid w:val="005015EE"/>
    <w:rsid w:val="0050504B"/>
    <w:rsid w:val="00505B40"/>
    <w:rsid w:val="00510EE7"/>
    <w:rsid w:val="00516176"/>
    <w:rsid w:val="00524678"/>
    <w:rsid w:val="005527D5"/>
    <w:rsid w:val="005561B3"/>
    <w:rsid w:val="005633BE"/>
    <w:rsid w:val="00570E0E"/>
    <w:rsid w:val="005812E7"/>
    <w:rsid w:val="00590904"/>
    <w:rsid w:val="005B77A4"/>
    <w:rsid w:val="005C228C"/>
    <w:rsid w:val="005C6529"/>
    <w:rsid w:val="005E054E"/>
    <w:rsid w:val="005F287D"/>
    <w:rsid w:val="005F4624"/>
    <w:rsid w:val="005F477F"/>
    <w:rsid w:val="005F7851"/>
    <w:rsid w:val="00615C3B"/>
    <w:rsid w:val="00616055"/>
    <w:rsid w:val="00632A48"/>
    <w:rsid w:val="006528B2"/>
    <w:rsid w:val="00695AED"/>
    <w:rsid w:val="006B2F79"/>
    <w:rsid w:val="006B3610"/>
    <w:rsid w:val="006D19CE"/>
    <w:rsid w:val="006D4E92"/>
    <w:rsid w:val="006F663B"/>
    <w:rsid w:val="007005A9"/>
    <w:rsid w:val="007029F9"/>
    <w:rsid w:val="00744CC4"/>
    <w:rsid w:val="00750434"/>
    <w:rsid w:val="00754F0F"/>
    <w:rsid w:val="00756318"/>
    <w:rsid w:val="0076594D"/>
    <w:rsid w:val="00771766"/>
    <w:rsid w:val="00780C33"/>
    <w:rsid w:val="007871CF"/>
    <w:rsid w:val="007E575F"/>
    <w:rsid w:val="007F5A00"/>
    <w:rsid w:val="00813509"/>
    <w:rsid w:val="008168C0"/>
    <w:rsid w:val="00824972"/>
    <w:rsid w:val="008362C6"/>
    <w:rsid w:val="00861801"/>
    <w:rsid w:val="008A17B3"/>
    <w:rsid w:val="008C2D4B"/>
    <w:rsid w:val="008D505A"/>
    <w:rsid w:val="008F41FF"/>
    <w:rsid w:val="00921327"/>
    <w:rsid w:val="00922212"/>
    <w:rsid w:val="00930B7F"/>
    <w:rsid w:val="00944205"/>
    <w:rsid w:val="009442C3"/>
    <w:rsid w:val="009558ED"/>
    <w:rsid w:val="00964271"/>
    <w:rsid w:val="009740F0"/>
    <w:rsid w:val="009850AB"/>
    <w:rsid w:val="009907C9"/>
    <w:rsid w:val="00993378"/>
    <w:rsid w:val="00994BFA"/>
    <w:rsid w:val="009C31AE"/>
    <w:rsid w:val="009D2751"/>
    <w:rsid w:val="009E55D9"/>
    <w:rsid w:val="009F1881"/>
    <w:rsid w:val="00A07550"/>
    <w:rsid w:val="00A07CF0"/>
    <w:rsid w:val="00A22298"/>
    <w:rsid w:val="00A2410B"/>
    <w:rsid w:val="00A430A7"/>
    <w:rsid w:val="00A526D0"/>
    <w:rsid w:val="00A64E0E"/>
    <w:rsid w:val="00A7542F"/>
    <w:rsid w:val="00A76A84"/>
    <w:rsid w:val="00AD5174"/>
    <w:rsid w:val="00AE23DD"/>
    <w:rsid w:val="00AE4062"/>
    <w:rsid w:val="00B05A75"/>
    <w:rsid w:val="00B114DB"/>
    <w:rsid w:val="00B13914"/>
    <w:rsid w:val="00B21E7C"/>
    <w:rsid w:val="00B41219"/>
    <w:rsid w:val="00B570AA"/>
    <w:rsid w:val="00B62500"/>
    <w:rsid w:val="00B840EC"/>
    <w:rsid w:val="00BD7640"/>
    <w:rsid w:val="00BD7B9E"/>
    <w:rsid w:val="00BF142F"/>
    <w:rsid w:val="00BF1F2B"/>
    <w:rsid w:val="00C1599A"/>
    <w:rsid w:val="00C315FC"/>
    <w:rsid w:val="00C33881"/>
    <w:rsid w:val="00C36C3A"/>
    <w:rsid w:val="00C66720"/>
    <w:rsid w:val="00C66789"/>
    <w:rsid w:val="00C718A1"/>
    <w:rsid w:val="00C90534"/>
    <w:rsid w:val="00C91C34"/>
    <w:rsid w:val="00CA2E51"/>
    <w:rsid w:val="00CA62D5"/>
    <w:rsid w:val="00CA68AA"/>
    <w:rsid w:val="00CB56DC"/>
    <w:rsid w:val="00CC62B1"/>
    <w:rsid w:val="00CD7933"/>
    <w:rsid w:val="00CE0871"/>
    <w:rsid w:val="00CE5545"/>
    <w:rsid w:val="00CF3823"/>
    <w:rsid w:val="00CF49F5"/>
    <w:rsid w:val="00D04715"/>
    <w:rsid w:val="00D053E5"/>
    <w:rsid w:val="00D1416F"/>
    <w:rsid w:val="00D1786D"/>
    <w:rsid w:val="00D22AA7"/>
    <w:rsid w:val="00D45110"/>
    <w:rsid w:val="00D47C9A"/>
    <w:rsid w:val="00D52EBF"/>
    <w:rsid w:val="00D701DD"/>
    <w:rsid w:val="00D871FE"/>
    <w:rsid w:val="00DC6E33"/>
    <w:rsid w:val="00DE4380"/>
    <w:rsid w:val="00DF0D1D"/>
    <w:rsid w:val="00E24BFE"/>
    <w:rsid w:val="00E256B2"/>
    <w:rsid w:val="00E324C3"/>
    <w:rsid w:val="00E47A49"/>
    <w:rsid w:val="00E530EA"/>
    <w:rsid w:val="00E93544"/>
    <w:rsid w:val="00EB44FF"/>
    <w:rsid w:val="00EC43CF"/>
    <w:rsid w:val="00ED1836"/>
    <w:rsid w:val="00ED76AB"/>
    <w:rsid w:val="00EE67F3"/>
    <w:rsid w:val="00EF28EC"/>
    <w:rsid w:val="00F41DFF"/>
    <w:rsid w:val="00F57886"/>
    <w:rsid w:val="00F635BB"/>
    <w:rsid w:val="00F66CB8"/>
    <w:rsid w:val="00F70E90"/>
    <w:rsid w:val="00F72DB9"/>
    <w:rsid w:val="00F748DE"/>
    <w:rsid w:val="00F76405"/>
    <w:rsid w:val="00F80033"/>
    <w:rsid w:val="00F85F83"/>
    <w:rsid w:val="00FB68FF"/>
    <w:rsid w:val="00FC1896"/>
    <w:rsid w:val="00FE716E"/>
    <w:rsid w:val="00FE7961"/>
    <w:rsid w:val="00FF7A65"/>
    <w:rsid w:val="7C6E05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kern w:val="0"/>
      <w:sz w:val="32"/>
      <w:szCs w:val="20"/>
      <w:lang w:val="en-US" w:eastAsia="zh-CN"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Indent"/>
    <w:basedOn w:val="1"/>
    <w:link w:val="12"/>
    <w:unhideWhenUsed/>
    <w:uiPriority w:val="0"/>
    <w:pPr>
      <w:autoSpaceDE/>
      <w:autoSpaceDN/>
      <w:snapToGrid/>
      <w:spacing w:line="520" w:lineRule="exact"/>
      <w:ind w:firstLine="640" w:firstLineChars="200"/>
    </w:pPr>
    <w:rPr>
      <w:rFonts w:eastAsia="仿宋_GB2312" w:cs="Tahoma"/>
      <w:snapToGrid/>
      <w:color w:val="000000"/>
      <w:szCs w:val="14"/>
    </w:rPr>
  </w:style>
  <w:style w:type="paragraph" w:styleId="3">
    <w:name w:val="footer"/>
    <w:basedOn w:val="1"/>
    <w:link w:val="10"/>
    <w:uiPriority w:val="99"/>
    <w:pPr>
      <w:tabs>
        <w:tab w:val="center" w:pos="4153"/>
        <w:tab w:val="right" w:pos="8306"/>
      </w:tabs>
      <w:spacing w:line="400" w:lineRule="atLeast"/>
      <w:ind w:firstLine="0"/>
      <w:jc w:val="center"/>
    </w:pPr>
    <w:rPr>
      <w:sz w:val="28"/>
    </w:rPr>
  </w:style>
  <w:style w:type="paragraph" w:styleId="4">
    <w:name w:val="header"/>
    <w:basedOn w:val="1"/>
    <w:link w:val="14"/>
    <w:unhideWhenUsed/>
    <w:uiPriority w:val="99"/>
    <w:pPr>
      <w:pBdr>
        <w:bottom w:val="single" w:color="auto" w:sz="6" w:space="1"/>
      </w:pBdr>
      <w:tabs>
        <w:tab w:val="center" w:pos="4153"/>
        <w:tab w:val="right" w:pos="8306"/>
      </w:tabs>
      <w:spacing w:line="240" w:lineRule="atLeast"/>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uiPriority w:val="0"/>
  </w:style>
  <w:style w:type="paragraph" w:customStyle="1" w:styleId="9">
    <w:name w:val="标题1"/>
    <w:basedOn w:val="1"/>
    <w:next w:val="1"/>
    <w:uiPriority w:val="0"/>
    <w:pPr>
      <w:tabs>
        <w:tab w:val="left" w:pos="9193"/>
        <w:tab w:val="left" w:pos="9827"/>
      </w:tabs>
      <w:spacing w:line="640" w:lineRule="atLeast"/>
      <w:ind w:firstLine="0"/>
      <w:jc w:val="center"/>
    </w:pPr>
    <w:rPr>
      <w:rFonts w:eastAsia="方正小标宋_GBK"/>
      <w:sz w:val="44"/>
    </w:rPr>
  </w:style>
  <w:style w:type="character" w:customStyle="1" w:styleId="10">
    <w:name w:val="页脚 Char"/>
    <w:basedOn w:val="7"/>
    <w:link w:val="3"/>
    <w:uiPriority w:val="99"/>
    <w:rPr>
      <w:rFonts w:ascii="Times New Roman" w:hAnsi="Times New Roman" w:eastAsia="方正仿宋_GBK" w:cs="Times New Roman"/>
      <w:snapToGrid w:val="0"/>
      <w:kern w:val="0"/>
      <w:sz w:val="28"/>
      <w:szCs w:val="20"/>
    </w:rPr>
  </w:style>
  <w:style w:type="paragraph" w:customStyle="1" w:styleId="11">
    <w:name w:val="标题3"/>
    <w:basedOn w:val="1"/>
    <w:next w:val="1"/>
    <w:uiPriority w:val="0"/>
    <w:rPr>
      <w:rFonts w:eastAsia="方正黑体_GBK"/>
    </w:rPr>
  </w:style>
  <w:style w:type="character" w:customStyle="1" w:styleId="12">
    <w:name w:val="正文文本缩进 Char"/>
    <w:basedOn w:val="7"/>
    <w:link w:val="2"/>
    <w:uiPriority w:val="0"/>
    <w:rPr>
      <w:rFonts w:ascii="Times New Roman" w:hAnsi="Times New Roman" w:eastAsia="仿宋_GB2312" w:cs="Tahoma"/>
      <w:color w:val="000000"/>
      <w:kern w:val="0"/>
      <w:sz w:val="32"/>
      <w:szCs w:val="14"/>
    </w:rPr>
  </w:style>
  <w:style w:type="paragraph" w:styleId="13">
    <w:name w:val="List Paragraph"/>
    <w:basedOn w:val="1"/>
    <w:qFormat/>
    <w:uiPriority w:val="34"/>
    <w:pPr>
      <w:autoSpaceDE/>
      <w:autoSpaceDN/>
      <w:snapToGrid/>
      <w:spacing w:line="240" w:lineRule="auto"/>
      <w:ind w:firstLine="420" w:firstLineChars="200"/>
    </w:pPr>
    <w:rPr>
      <w:rFonts w:ascii="Calibri" w:hAnsi="Calibri" w:eastAsia="宋体"/>
      <w:snapToGrid/>
      <w:kern w:val="2"/>
      <w:sz w:val="21"/>
      <w:szCs w:val="22"/>
    </w:rPr>
  </w:style>
  <w:style w:type="character" w:customStyle="1" w:styleId="14">
    <w:name w:val="页眉 Char"/>
    <w:basedOn w:val="7"/>
    <w:link w:val="4"/>
    <w:uiPriority w:val="99"/>
    <w:rPr>
      <w:rFonts w:ascii="Times New Roman" w:hAnsi="Times New Roman" w:eastAsia="方正仿宋_GBK" w:cs="Times New Roman"/>
      <w:snapToGrid w:val="0"/>
      <w:kern w:val="0"/>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DK</Company>
  <Pages>4</Pages>
  <Words>1157</Words>
  <Characters>1252</Characters>
  <Lines>9</Lines>
  <Paragraphs>2</Paragraphs>
  <TotalTime>795005</TotalTime>
  <ScaleCrop>false</ScaleCrop>
  <LinksUpToDate>false</LinksUpToDate>
  <CharactersWithSpaces>1259</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2023-11-17T08:11:00Z</dcterms:created>
  <dc:creator>Admin</dc:creator>
  <cp:lastModifiedBy>天草三郎</cp:lastModifiedBy>
  <dcterms:modified xsi:type="dcterms:W3CDTF">2025-05-22T10:57:29Z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275B7E810769434F9B1C237ECAD6910C</vt:lpwstr>
  </property>
</Properties>
</file>