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rPr>
          <w:rFonts w:ascii="方正小标宋简体" w:hAnsi="华文中宋" w:eastAsia="方正小标宋简体" w:cs="Times New Roman"/>
          <w:spacing w:val="-20"/>
          <w:sz w:val="44"/>
          <w:szCs w:val="44"/>
        </w:rPr>
      </w:pPr>
    </w:p>
    <w:p>
      <w:pPr>
        <w:spacing w:line="500" w:lineRule="exact"/>
        <w:jc w:val="center"/>
        <w:rPr>
          <w:rFonts w:ascii="方正小标宋简体" w:hAnsi="华文中宋" w:eastAsia="方正小标宋简体" w:cs="Times New Roman"/>
          <w:spacing w:val="-20"/>
          <w:sz w:val="44"/>
          <w:szCs w:val="44"/>
        </w:rPr>
      </w:pPr>
      <w:r>
        <w:rPr>
          <w:rFonts w:hint="eastAsia" w:ascii="方正小标宋简体" w:hAnsi="华文中宋" w:eastAsia="方正小标宋简体" w:cs="Times New Roman"/>
          <w:spacing w:val="-20"/>
          <w:sz w:val="44"/>
          <w:szCs w:val="44"/>
        </w:rPr>
        <w:t>江苏艺术基金（一般项目）202</w:t>
      </w:r>
      <w:r>
        <w:rPr>
          <w:rFonts w:ascii="方正小标宋简体" w:hAnsi="华文中宋" w:eastAsia="方正小标宋简体" w:cs="Times New Roman"/>
          <w:spacing w:val="-20"/>
          <w:sz w:val="44"/>
          <w:szCs w:val="44"/>
        </w:rPr>
        <w:t>2</w:t>
      </w:r>
      <w:r>
        <w:rPr>
          <w:rFonts w:hint="eastAsia" w:ascii="方正小标宋简体" w:hAnsi="华文中宋" w:eastAsia="方正小标宋简体" w:cs="Times New Roman"/>
          <w:spacing w:val="-20"/>
          <w:sz w:val="44"/>
          <w:szCs w:val="44"/>
        </w:rPr>
        <w:t>年度资助</w:t>
      </w:r>
    </w:p>
    <w:p>
      <w:pPr>
        <w:spacing w:line="500" w:lineRule="exact"/>
        <w:jc w:val="center"/>
        <w:rPr>
          <w:rFonts w:ascii="方正小标宋简体" w:hAnsi="华文中宋" w:eastAsia="方正小标宋简体" w:cs="Times New Roman"/>
          <w:spacing w:val="-20"/>
          <w:sz w:val="44"/>
          <w:szCs w:val="44"/>
        </w:rPr>
      </w:pPr>
      <w:r>
        <w:rPr>
          <w:rFonts w:hint="eastAsia" w:ascii="方正小标宋简体" w:hAnsi="华文中宋" w:eastAsia="方正小标宋简体" w:cs="Times New Roman"/>
          <w:spacing w:val="-20"/>
          <w:sz w:val="44"/>
          <w:szCs w:val="44"/>
        </w:rPr>
        <w:t>项目申报指南</w:t>
      </w:r>
    </w:p>
    <w:p>
      <w:pPr>
        <w:spacing w:line="500" w:lineRule="exact"/>
        <w:ind w:firstLine="800" w:firstLineChars="200"/>
        <w:jc w:val="center"/>
        <w:rPr>
          <w:rFonts w:ascii="华文中宋" w:hAnsi="华文中宋" w:eastAsia="华文中宋" w:cs="Times New Roman"/>
          <w:spacing w:val="-20"/>
          <w:sz w:val="44"/>
          <w:szCs w:val="44"/>
        </w:rPr>
      </w:pP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江苏艺术基金面向社会受理舞台艺术创作、传播交流推广、艺术人才培养、美术创作项目的申报。根据《江苏艺术基金章程》《江苏艺术基金使用和管理办法》，制定本指南。</w:t>
      </w:r>
    </w:p>
    <w:p>
      <w:pPr>
        <w:pStyle w:val="7"/>
        <w:numPr>
          <w:ilvl w:val="0"/>
          <w:numId w:val="1"/>
        </w:numPr>
        <w:shd w:val="clear" w:color="auto" w:fill="FFFFFF"/>
        <w:spacing w:before="0" w:beforeAutospacing="0" w:after="0" w:afterAutospacing="0" w:line="560" w:lineRule="exact"/>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资助宗旨</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江苏艺术基金资助项目坚持以习近平新时代中国特色社会主义思想为指导，围绕举旗帜、聚民心、育新人、兴文化、展形象的使命任务，把创作优秀作品作为中心环节，努力提升精神高度、文化内涵、艺术价值，思想精深、艺术精湛、制作精良相统一，经得起人民检验和评判的舞台艺术作品创作。坚持以人民为中心的创作导向，把社会效益放在首位，着眼促进满足人民文化需求和增强人民精神力量相统一，传播当代中国价值观念、体现中华文化精神、反映中国人审美追求的演出、展览、演播项目。艺术基金同时关注培育德艺双馨的高水平艺术人才，引导广大艺术工作者树立正确的历史观、民族观、国家观、文化观，牢记文化担当和社会责任，不断提高学养、涵养、修养，成为党的文艺方针政策的拥护者、践行者，成为时代风气的先行者、先倡者。艺术基金鼓励美术工作者为时代画像、为时代立传、为时代明德。资助以现实主义精神和浪漫主义情怀观照人民的生活、命运、情感，反映人民的喜怒哀乐和气象万千的生活景象，讴歌奋斗人生、刻画最美人物、描绘祖国秀美河山的作品。</w:t>
      </w:r>
    </w:p>
    <w:p>
      <w:pPr>
        <w:pStyle w:val="7"/>
        <w:shd w:val="clear" w:color="auto" w:fill="FFFFFF"/>
        <w:spacing w:before="0" w:beforeAutospacing="0" w:after="0" w:afterAutospacing="0" w:line="560" w:lineRule="exact"/>
        <w:ind w:firstLine="640" w:firstLineChars="200"/>
        <w:jc w:val="both"/>
        <w:rPr>
          <w:rFonts w:hint="eastAsia" w:ascii="仿宋" w:hAnsi="仿宋" w:eastAsia="仿宋"/>
          <w:sz w:val="32"/>
          <w:szCs w:val="32"/>
          <w:shd w:val="clear" w:color="auto" w:fill="FFFFFF"/>
        </w:rPr>
      </w:pPr>
      <w:r>
        <w:rPr>
          <w:rFonts w:hint="eastAsia" w:ascii="仿宋" w:hAnsi="仿宋" w:eastAsia="仿宋"/>
          <w:sz w:val="32"/>
          <w:szCs w:val="32"/>
          <w:shd w:val="clear" w:color="auto" w:fill="FFFFFF"/>
        </w:rPr>
        <w:t>本年度坚持现实题材、革命题材、传统题材并重，重点资助围绕迎接党的“二十大”召开等重大时间节点，围绕“一带一路”倡议、“长江经济带”发展、“大运河文化带”建设、“长三角一体化”发展等国家、省重大战略，打响“水韵江苏”品牌，推进“两廊两带两区”发展布局，彰显时代特征、中国特色、江苏特点的文</w:t>
      </w:r>
      <w:bookmarkStart w:id="0" w:name="_GoBack"/>
      <w:bookmarkEnd w:id="0"/>
      <w:r>
        <w:rPr>
          <w:rFonts w:hint="eastAsia" w:ascii="仿宋" w:hAnsi="仿宋" w:eastAsia="仿宋"/>
          <w:sz w:val="32"/>
          <w:szCs w:val="32"/>
          <w:shd w:val="clear" w:color="auto" w:fill="FFFFFF"/>
        </w:rPr>
        <w:t>艺精品。</w:t>
      </w:r>
    </w:p>
    <w:p>
      <w:pPr>
        <w:pStyle w:val="7"/>
        <w:shd w:val="clear" w:color="auto" w:fill="FFFFFF"/>
        <w:spacing w:before="0" w:beforeAutospacing="0" w:after="0" w:afterAutospacing="0" w:line="56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二、申报程序</w:t>
      </w:r>
    </w:p>
    <w:p>
      <w:pPr>
        <w:pStyle w:val="7"/>
        <w:shd w:val="clear" w:color="auto" w:fill="FFFFFF"/>
        <w:spacing w:before="0" w:beforeAutospacing="0" w:after="0" w:afterAutospacing="0" w:line="560" w:lineRule="exact"/>
        <w:ind w:firstLine="640" w:firstLineChars="200"/>
        <w:jc w:val="both"/>
        <w:rPr>
          <w:rFonts w:ascii="仿宋" w:hAnsi="仿宋" w:eastAsia="仿宋"/>
          <w:sz w:val="32"/>
          <w:szCs w:val="32"/>
          <w:shd w:val="clear" w:color="auto" w:fill="FFFFFF"/>
        </w:rPr>
      </w:pPr>
      <w:r>
        <w:rPr>
          <w:rFonts w:hint="eastAsia" w:ascii="仿宋" w:hAnsi="仿宋" w:eastAsia="仿宋"/>
          <w:sz w:val="32"/>
          <w:szCs w:val="32"/>
          <w:shd w:val="clear" w:color="auto" w:fill="FFFFFF"/>
        </w:rPr>
        <w:t>（一）申报主体在规定的申报受理期内，登陆江苏省文化和旅游厅官方网站（http://wlt.jiangsu.gov.cn）、江苏艺术基金网页（http://www.jsysjjgl.com）或江苏文惠网（http://www.jswenhui.com），通过江苏艺术基金网上申报管理系统，按要求填写申报表，上传申报材料。</w:t>
      </w:r>
    </w:p>
    <w:p>
      <w:pPr>
        <w:pStyle w:val="7"/>
        <w:shd w:val="clear" w:color="auto" w:fill="FFFFFF"/>
        <w:spacing w:before="0" w:beforeAutospacing="0" w:after="0" w:afterAutospacing="0" w:line="560" w:lineRule="exact"/>
        <w:ind w:firstLine="640" w:firstLineChars="200"/>
        <w:jc w:val="both"/>
        <w:rPr>
          <w:rFonts w:ascii="仿宋" w:hAnsi="仿宋" w:eastAsia="仿宋"/>
          <w:sz w:val="32"/>
          <w:szCs w:val="32"/>
          <w:shd w:val="clear" w:color="auto" w:fill="FFFFFF"/>
        </w:rPr>
      </w:pPr>
      <w:r>
        <w:rPr>
          <w:rFonts w:hint="eastAsia" w:ascii="仿宋" w:hAnsi="仿宋" w:eastAsia="仿宋"/>
          <w:sz w:val="32"/>
          <w:szCs w:val="32"/>
          <w:shd w:val="clear" w:color="auto" w:fill="FFFFFF"/>
        </w:rPr>
        <w:t>（二）申报纸质材料（一式一份）由各设区市文化广电和旅游局审核汇总并统一报送江苏艺术基金管理中心（以下简称“管理中心”）；省直系统申报的纸质材料（一式一份）邮寄至管理中心；高等院校所有申报项目纸质材料（一式一份）由高校统一组织报送至管理中心。</w:t>
      </w:r>
    </w:p>
    <w:p>
      <w:pPr>
        <w:pStyle w:val="7"/>
        <w:shd w:val="clear" w:color="auto" w:fill="FFFFFF"/>
        <w:spacing w:before="0" w:beforeAutospacing="0" w:after="0" w:afterAutospacing="0" w:line="560" w:lineRule="exact"/>
        <w:ind w:firstLine="640" w:firstLineChars="200"/>
        <w:jc w:val="both"/>
        <w:rPr>
          <w:rFonts w:ascii="仿宋" w:hAnsi="仿宋" w:eastAsia="仿宋"/>
          <w:sz w:val="32"/>
          <w:szCs w:val="32"/>
          <w:shd w:val="clear" w:color="auto" w:fill="FFFFFF"/>
        </w:rPr>
      </w:pPr>
      <w:r>
        <w:rPr>
          <w:rFonts w:hint="eastAsia" w:ascii="仿宋" w:hAnsi="仿宋" w:eastAsia="仿宋"/>
          <w:sz w:val="32"/>
          <w:szCs w:val="32"/>
          <w:shd w:val="clear" w:color="auto" w:fill="FFFFFF"/>
        </w:rPr>
        <w:t>（三）管理中心将对申报项目进行核查，符合相关规定的予以受理，不符合相关规定或提供申报材料不全的，不予受理。</w:t>
      </w:r>
    </w:p>
    <w:p>
      <w:pPr>
        <w:pStyle w:val="7"/>
        <w:shd w:val="clear" w:color="auto" w:fill="FFFFFF"/>
        <w:spacing w:before="0" w:beforeAutospacing="0" w:after="0" w:afterAutospacing="0" w:line="560" w:lineRule="exact"/>
        <w:ind w:firstLine="640" w:firstLineChars="200"/>
        <w:jc w:val="both"/>
        <w:rPr>
          <w:rFonts w:ascii="仿宋" w:hAnsi="仿宋" w:eastAsia="仿宋"/>
          <w:sz w:val="32"/>
          <w:szCs w:val="32"/>
          <w:shd w:val="clear" w:color="auto" w:fill="FFFFFF"/>
        </w:rPr>
      </w:pPr>
      <w:r>
        <w:rPr>
          <w:rFonts w:hint="eastAsia" w:ascii="仿宋" w:hAnsi="仿宋" w:eastAsia="仿宋"/>
          <w:sz w:val="32"/>
          <w:szCs w:val="32"/>
          <w:shd w:val="clear" w:color="auto" w:fill="FFFFFF"/>
        </w:rPr>
        <w:t>（四）对申报主体寄送的申报材料，管理中心按规定管理和使用，且不退还，请自行备份底稿。</w:t>
      </w:r>
    </w:p>
    <w:p>
      <w:pPr>
        <w:pStyle w:val="7"/>
        <w:shd w:val="clear" w:color="auto" w:fill="FFFFFF"/>
        <w:spacing w:before="0" w:beforeAutospacing="0" w:after="0" w:afterAutospacing="0" w:line="56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三、申报资质</w:t>
      </w:r>
    </w:p>
    <w:p>
      <w:pPr>
        <w:pStyle w:val="7"/>
        <w:shd w:val="clear" w:color="auto" w:fill="FFFFFF"/>
        <w:spacing w:before="0" w:beforeAutospacing="0" w:after="0" w:afterAutospacing="0" w:line="560" w:lineRule="exact"/>
        <w:ind w:firstLine="640" w:firstLineChars="200"/>
        <w:jc w:val="both"/>
        <w:rPr>
          <w:rFonts w:ascii="仿宋" w:hAnsi="仿宋" w:eastAsia="仿宋"/>
          <w:sz w:val="32"/>
          <w:szCs w:val="32"/>
          <w:shd w:val="clear" w:color="auto" w:fill="FFFFFF"/>
        </w:rPr>
      </w:pPr>
      <w:r>
        <w:rPr>
          <w:rFonts w:hint="eastAsia" w:ascii="仿宋" w:hAnsi="仿宋" w:eastAsia="仿宋"/>
          <w:sz w:val="32"/>
          <w:szCs w:val="32"/>
          <w:shd w:val="clear" w:color="auto" w:fill="FFFFFF"/>
        </w:rPr>
        <w:t>项目的申报主体为个人、单位或机构（不含性质为机关法人的单位）。申报主体为个人的应具有中华人民共和国江苏省户籍或在江苏缴纳社保满一年。申报主体为单位或机构的应在2</w:t>
      </w:r>
      <w:r>
        <w:rPr>
          <w:rFonts w:ascii="仿宋" w:hAnsi="仿宋" w:eastAsia="仿宋"/>
          <w:sz w:val="32"/>
          <w:szCs w:val="32"/>
          <w:shd w:val="clear" w:color="auto" w:fill="FFFFFF"/>
        </w:rPr>
        <w:t>020</w:t>
      </w:r>
      <w:r>
        <w:rPr>
          <w:rFonts w:hint="eastAsia" w:ascii="仿宋" w:hAnsi="仿宋" w:eastAsia="仿宋"/>
          <w:sz w:val="32"/>
          <w:szCs w:val="32"/>
          <w:shd w:val="clear" w:color="auto" w:fill="FFFFFF"/>
        </w:rPr>
        <w:t>年6月</w:t>
      </w:r>
      <w:r>
        <w:rPr>
          <w:rFonts w:ascii="仿宋" w:hAnsi="仿宋" w:eastAsia="仿宋"/>
          <w:sz w:val="32"/>
          <w:szCs w:val="32"/>
          <w:shd w:val="clear" w:color="auto" w:fill="FFFFFF"/>
        </w:rPr>
        <w:t>1</w:t>
      </w:r>
      <w:r>
        <w:rPr>
          <w:rFonts w:hint="eastAsia" w:ascii="仿宋" w:hAnsi="仿宋" w:eastAsia="仿宋"/>
          <w:sz w:val="32"/>
          <w:szCs w:val="32"/>
          <w:shd w:val="clear" w:color="auto" w:fill="FFFFFF"/>
        </w:rPr>
        <w:t>日前在江苏省内同级行政机关登记、注册。因事业单位体制改革重新登记、注册的，登记、注册时间可与改革前连续计算。</w:t>
      </w:r>
    </w:p>
    <w:p>
      <w:pPr>
        <w:pStyle w:val="7"/>
        <w:shd w:val="clear" w:color="auto" w:fill="FFFFFF"/>
        <w:spacing w:before="0" w:beforeAutospacing="0" w:after="0" w:afterAutospacing="0" w:line="56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四、申报时间</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本项目从2021年12月3</w:t>
      </w:r>
      <w:r>
        <w:rPr>
          <w:rFonts w:ascii="仿宋" w:hAnsi="仿宋" w:eastAsia="仿宋" w:cs="Tahoma"/>
          <w:snapToGrid w:val="0"/>
          <w:color w:val="000000"/>
          <w:kern w:val="0"/>
          <w:sz w:val="32"/>
          <w:szCs w:val="32"/>
        </w:rPr>
        <w:t>1</w:t>
      </w:r>
      <w:r>
        <w:rPr>
          <w:rFonts w:hint="eastAsia" w:ascii="仿宋" w:hAnsi="仿宋" w:eastAsia="仿宋" w:cs="Tahoma"/>
          <w:snapToGrid w:val="0"/>
          <w:color w:val="000000"/>
          <w:kern w:val="0"/>
          <w:sz w:val="32"/>
          <w:szCs w:val="32"/>
        </w:rPr>
        <w:t>日起开始申报，至2022年2月</w:t>
      </w:r>
      <w:r>
        <w:rPr>
          <w:rFonts w:ascii="仿宋" w:hAnsi="仿宋" w:eastAsia="仿宋" w:cs="Tahoma"/>
          <w:snapToGrid w:val="0"/>
          <w:color w:val="000000"/>
          <w:kern w:val="0"/>
          <w:sz w:val="32"/>
          <w:szCs w:val="32"/>
        </w:rPr>
        <w:t>10</w:t>
      </w:r>
      <w:r>
        <w:rPr>
          <w:rFonts w:hint="eastAsia" w:ascii="仿宋" w:hAnsi="仿宋" w:eastAsia="仿宋" w:cs="Tahoma"/>
          <w:snapToGrid w:val="0"/>
          <w:color w:val="000000"/>
          <w:kern w:val="0"/>
          <w:sz w:val="32"/>
          <w:szCs w:val="32"/>
        </w:rPr>
        <w:t>日截止申报。管理中心在申报期内受理项目申报，并提供相关咨询服务，逾期不予受理。</w:t>
      </w:r>
    </w:p>
    <w:p>
      <w:pPr>
        <w:pStyle w:val="7"/>
        <w:shd w:val="clear" w:color="auto" w:fill="FFFFFF"/>
        <w:spacing w:before="0" w:beforeAutospacing="0" w:after="0" w:afterAutospacing="0" w:line="56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五、签约实施</w:t>
      </w:r>
    </w:p>
    <w:p>
      <w:pPr>
        <w:pStyle w:val="7"/>
        <w:shd w:val="clear" w:color="auto" w:fill="FFFFFF"/>
        <w:spacing w:before="0" w:beforeAutospacing="0" w:after="0" w:afterAutospacing="0" w:line="560" w:lineRule="exact"/>
        <w:ind w:firstLine="640" w:firstLineChars="200"/>
        <w:jc w:val="both"/>
        <w:rPr>
          <w:rFonts w:ascii="仿宋" w:hAnsi="仿宋" w:eastAsia="仿宋"/>
          <w:sz w:val="32"/>
          <w:szCs w:val="32"/>
          <w:shd w:val="clear" w:color="auto" w:fill="FFFFFF"/>
        </w:rPr>
      </w:pPr>
      <w:r>
        <w:rPr>
          <w:rFonts w:hint="eastAsia" w:ascii="仿宋" w:hAnsi="仿宋" w:eastAsia="仿宋"/>
          <w:sz w:val="32"/>
          <w:szCs w:val="32"/>
          <w:shd w:val="clear" w:color="auto" w:fill="FFFFFF"/>
        </w:rPr>
        <w:t>（一）确定申报项目为立项资助项目后，管理中心将与申报主体签订《江苏艺术基金资助项目协议书》。《江苏艺术基金（一般项目）资助项目申报表》作为协议书附件，具有同等约束力。</w:t>
      </w:r>
    </w:p>
    <w:p>
      <w:pPr>
        <w:pStyle w:val="7"/>
        <w:shd w:val="clear" w:color="auto" w:fill="FFFFFF"/>
        <w:spacing w:before="0" w:beforeAutospacing="0" w:after="0" w:afterAutospacing="0" w:line="560" w:lineRule="exact"/>
        <w:ind w:firstLine="640" w:firstLineChars="200"/>
        <w:jc w:val="both"/>
        <w:rPr>
          <w:rFonts w:ascii="仿宋" w:hAnsi="仿宋" w:eastAsia="仿宋"/>
          <w:sz w:val="32"/>
          <w:szCs w:val="32"/>
          <w:shd w:val="clear" w:color="auto" w:fill="FFFFFF"/>
        </w:rPr>
      </w:pPr>
      <w:r>
        <w:rPr>
          <w:rFonts w:hint="eastAsia" w:ascii="仿宋" w:hAnsi="仿宋" w:eastAsia="仿宋"/>
          <w:sz w:val="32"/>
          <w:szCs w:val="32"/>
          <w:shd w:val="clear" w:color="auto" w:fill="FFFFFF"/>
        </w:rPr>
        <w:t>（二）申报项目立项后，申报主体应同意按照艺术基金安排，参加艺术基金组织的出版、展演等公益性活动。</w:t>
      </w:r>
    </w:p>
    <w:p>
      <w:pPr>
        <w:pStyle w:val="7"/>
        <w:shd w:val="clear" w:color="auto" w:fill="FFFFFF"/>
        <w:spacing w:before="0" w:beforeAutospacing="0" w:after="0" w:afterAutospacing="0" w:line="560" w:lineRule="exact"/>
        <w:ind w:firstLine="640" w:firstLineChars="200"/>
        <w:jc w:val="both"/>
        <w:rPr>
          <w:rFonts w:ascii="仿宋" w:hAnsi="仿宋" w:eastAsia="仿宋"/>
          <w:sz w:val="32"/>
          <w:szCs w:val="32"/>
          <w:shd w:val="clear" w:color="auto" w:fill="FFFFFF"/>
        </w:rPr>
      </w:pPr>
      <w:r>
        <w:rPr>
          <w:rFonts w:hint="eastAsia" w:ascii="仿宋" w:hAnsi="仿宋" w:eastAsia="仿宋"/>
          <w:sz w:val="32"/>
          <w:szCs w:val="32"/>
          <w:shd w:val="clear" w:color="auto" w:fill="FFFFFF"/>
        </w:rPr>
        <w:t>（三）江苏艺术基金按一定比例配套奖励国家艺术基金年度重点资助项目。</w:t>
      </w:r>
    </w:p>
    <w:p>
      <w:pPr>
        <w:pStyle w:val="7"/>
        <w:shd w:val="clear" w:color="auto" w:fill="FFFFFF"/>
        <w:spacing w:before="0" w:beforeAutospacing="0" w:after="0" w:afterAutospacing="0" w:line="56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六、监督验收</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（一）资助项目应于202</w:t>
      </w:r>
      <w:r>
        <w:rPr>
          <w:rFonts w:ascii="仿宋" w:hAnsi="仿宋" w:eastAsia="仿宋" w:cs="Tahoma"/>
          <w:snapToGrid w:val="0"/>
          <w:color w:val="000000"/>
          <w:kern w:val="0"/>
          <w:sz w:val="32"/>
          <w:szCs w:val="32"/>
        </w:rPr>
        <w:t>3</w:t>
      </w:r>
      <w:r>
        <w:rPr>
          <w:rFonts w:hint="eastAsia" w:ascii="仿宋" w:hAnsi="仿宋" w:eastAsia="仿宋" w:cs="Tahoma"/>
          <w:snapToGrid w:val="0"/>
          <w:color w:val="000000"/>
          <w:kern w:val="0"/>
          <w:sz w:val="32"/>
          <w:szCs w:val="32"/>
        </w:rPr>
        <w:t>年</w:t>
      </w:r>
      <w:r>
        <w:rPr>
          <w:rFonts w:ascii="仿宋" w:hAnsi="仿宋" w:eastAsia="仿宋" w:cs="Tahoma"/>
          <w:snapToGrid w:val="0"/>
          <w:color w:val="000000"/>
          <w:kern w:val="0"/>
          <w:sz w:val="32"/>
          <w:szCs w:val="32"/>
        </w:rPr>
        <w:t>6</w:t>
      </w:r>
      <w:r>
        <w:rPr>
          <w:rFonts w:hint="eastAsia" w:ascii="仿宋" w:hAnsi="仿宋" w:eastAsia="仿宋" w:cs="Tahoma"/>
          <w:snapToGrid w:val="0"/>
          <w:color w:val="000000"/>
          <w:kern w:val="0"/>
          <w:sz w:val="32"/>
          <w:szCs w:val="32"/>
        </w:rPr>
        <w:t>月30日前完成结项验收。如确需延期完成，必须于</w:t>
      </w:r>
      <w:r>
        <w:rPr>
          <w:rFonts w:ascii="仿宋" w:hAnsi="仿宋" w:eastAsia="仿宋" w:cs="Tahoma"/>
          <w:snapToGrid w:val="0"/>
          <w:color w:val="000000"/>
          <w:kern w:val="0"/>
          <w:sz w:val="32"/>
          <w:szCs w:val="32"/>
        </w:rPr>
        <w:t>2023</w:t>
      </w:r>
      <w:r>
        <w:rPr>
          <w:rFonts w:hint="eastAsia" w:ascii="仿宋" w:hAnsi="仿宋" w:eastAsia="仿宋" w:cs="Tahoma"/>
          <w:snapToGrid w:val="0"/>
          <w:color w:val="000000"/>
          <w:kern w:val="0"/>
          <w:sz w:val="32"/>
          <w:szCs w:val="32"/>
        </w:rPr>
        <w:t>年</w:t>
      </w:r>
      <w:r>
        <w:rPr>
          <w:rFonts w:ascii="仿宋" w:hAnsi="仿宋" w:eastAsia="仿宋" w:cs="Tahoma"/>
          <w:snapToGrid w:val="0"/>
          <w:color w:val="000000"/>
          <w:kern w:val="0"/>
          <w:sz w:val="32"/>
          <w:szCs w:val="32"/>
        </w:rPr>
        <w:t>4</w:t>
      </w:r>
      <w:r>
        <w:rPr>
          <w:rFonts w:hint="eastAsia" w:ascii="仿宋" w:hAnsi="仿宋" w:eastAsia="仿宋" w:cs="Tahoma"/>
          <w:snapToGrid w:val="0"/>
          <w:color w:val="000000"/>
          <w:kern w:val="0"/>
          <w:sz w:val="32"/>
          <w:szCs w:val="32"/>
        </w:rPr>
        <w:t>月</w:t>
      </w:r>
      <w:r>
        <w:rPr>
          <w:rFonts w:ascii="仿宋" w:hAnsi="仿宋" w:eastAsia="仿宋" w:cs="Tahoma"/>
          <w:snapToGrid w:val="0"/>
          <w:color w:val="000000"/>
          <w:kern w:val="0"/>
          <w:sz w:val="32"/>
          <w:szCs w:val="32"/>
        </w:rPr>
        <w:t>30</w:t>
      </w:r>
      <w:r>
        <w:rPr>
          <w:rFonts w:hint="eastAsia" w:ascii="仿宋" w:hAnsi="仿宋" w:eastAsia="仿宋" w:cs="Tahoma"/>
          <w:snapToGrid w:val="0"/>
          <w:color w:val="000000"/>
          <w:kern w:val="0"/>
          <w:sz w:val="32"/>
          <w:szCs w:val="32"/>
        </w:rPr>
        <w:t>日前以书面形式向管理中心提出申请，获得批准后方可延期。</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管理中心将按照江苏艺术基金资助项目监督管理相关规定，对资助项目实施情况进行监督，并组织专家对资助项目进行结项验收。由多家单位或机构合作完成的项目，申报主体应及时将获得立项资助的信息告知各合作方，负责在实施过程中与各合作方的协调，并作为责任方接受审计和监督。</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申报主体要保证申报项目在申报及后续实施过程中均不侵犯任何第三方的知识产权及其他合法权益。如有侵犯，申报主体依法承担全部责任。对于申报主体与第三方的纠纷或争议，艺术基金不承担任何责任或义务。</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（四）资助项目结项验收时，申报主体应按要求提交完整的成果材料。</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五）申报主体有以下情形的，管理中心有权对该项目重新审核，并依据其严重程度分别或同时采取暂缓拨款、终止拨款、追回全部资助资金、撤销对该项目的资助以及三年内暂停申报主体申报资格等相应措施，并依法追究相关单位或机构责任：</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1.申报主体在项目实施过程中，侵犯任何第三方的知识产权及其他合法权益。</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2.项目实施内容、经费支出、结项成果等与《江苏艺术基金资助项目协议书》的约定存在重大差异。</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3.申报主体存在其他弄虚作假、挪用资助资金、违反《江苏艺术基金资助项目协议书》等情形。</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4.申报主体有其他严重违法违纪行为。</w:t>
      </w:r>
    </w:p>
    <w:p>
      <w:pPr>
        <w:pStyle w:val="7"/>
        <w:shd w:val="clear" w:color="auto" w:fill="FFFFFF"/>
        <w:spacing w:before="0" w:beforeAutospacing="0" w:after="0" w:afterAutospacing="0" w:line="560" w:lineRule="exact"/>
        <w:ind w:firstLine="640" w:firstLineChars="200"/>
        <w:jc w:val="both"/>
        <w:rPr>
          <w:rStyle w:val="11"/>
          <w:rFonts w:ascii="黑体" w:hAnsi="黑体" w:eastAsia="黑体" w:cs="黑体"/>
          <w:b w:val="0"/>
          <w:color w:val="000000" w:themeColor="text1"/>
          <w:sz w:val="32"/>
          <w:szCs w:val="32"/>
          <w14:textFill>
            <w14:solidFill>
              <w14:schemeClr w14:val="tx1"/>
            </w14:solidFill>
          </w14:textFill>
        </w:rPr>
      </w:pPr>
      <w:r>
        <w:rPr>
          <w:rStyle w:val="11"/>
          <w:rFonts w:hint="eastAsia" w:ascii="黑体" w:hAnsi="黑体" w:eastAsia="黑体" w:cs="黑体"/>
          <w:b w:val="0"/>
          <w:color w:val="000000" w:themeColor="text1"/>
          <w:sz w:val="32"/>
          <w:szCs w:val="32"/>
          <w14:textFill>
            <w14:solidFill>
              <w14:schemeClr w14:val="tx1"/>
            </w14:solidFill>
          </w14:textFill>
        </w:rPr>
        <w:t>七、其他</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一）资助项目在通过验收前，未经管理中心书面同意，实施主体不得自行安排资助项目的公开出版、演出或出售资助项目的作品。验收合格后，方可开展上述活动并且应在相关材料显著位置注明该项目为“江苏艺术基金资助项目”。</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（二）艺术基金对申报主体在项目申报、实施过程中和第三方产生的纠纷不承担任何责任。</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（三）管理中心对本指南拥有最终解释权。</w:t>
      </w:r>
    </w:p>
    <w:p>
      <w:pPr>
        <w:widowControl/>
        <w:shd w:val="clear" w:color="auto" w:fill="FFFFFF"/>
        <w:spacing w:line="56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（四）本指南自发布之日起实施。</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7D13925-353E-4BD4-8F9F-03321B9094C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00000000000000000"/>
    <w:charset w:val="86"/>
    <w:family w:val="script"/>
    <w:pitch w:val="default"/>
    <w:sig w:usb0="00000001" w:usb1="08000000" w:usb2="00000000" w:usb3="00000000" w:csb0="00040000" w:csb1="00000000"/>
    <w:embedRegular r:id="rId2" w:fontKey="{9EB90505-1D20-4B35-AD1B-DE31C99AA03E}"/>
  </w:font>
  <w:font w:name="华文中宋">
    <w:panose1 w:val="02010600040101010101"/>
    <w:charset w:val="86"/>
    <w:family w:val="auto"/>
    <w:pitch w:val="default"/>
    <w:sig w:usb0="00000287" w:usb1="080F0000" w:usb2="00000000" w:usb3="00000000" w:csb0="0004009F" w:csb1="DFD70000"/>
    <w:embedRegular r:id="rId3" w:fontKey="{412C9E0F-01CD-4703-AAC5-813461D138A8}"/>
  </w:font>
  <w:font w:name="仿宋">
    <w:panose1 w:val="02010609060101010101"/>
    <w:charset w:val="86"/>
    <w:family w:val="modern"/>
    <w:pitch w:val="default"/>
    <w:sig w:usb0="800002BF" w:usb1="38CF7CFA" w:usb2="00000016" w:usb3="00000000" w:csb0="00040001" w:csb1="00000000"/>
    <w:embedRegular r:id="rId4" w:fontKey="{C1890E9D-ABAA-4096-B60B-BCD1D2577760}"/>
  </w:font>
  <w:font w:name="Tahoma">
    <w:panose1 w:val="020B0604030504040204"/>
    <w:charset w:val="00"/>
    <w:family w:val="swiss"/>
    <w:pitch w:val="default"/>
    <w:sig w:usb0="E1002EFF" w:usb1="C000605B" w:usb2="00000029" w:usb3="00000000" w:csb0="200101FF" w:csb1="20280000"/>
    <w:embedRegular r:id="rId5" w:fontKey="{5D392BEE-D27D-4BA6-964A-8BA423B3FFB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17622090"/>
      <w:docPartObj>
        <w:docPartGallery w:val="autotext"/>
      </w:docPartObj>
    </w:sdtPr>
    <w:sdtContent>
      <w:p>
        <w:pPr>
          <w:pStyle w:val="5"/>
          <w:jc w:val="center"/>
        </w:pPr>
        <w:r>
          <w:fldChar w:fldCharType="begin"/>
        </w:r>
        <w:r>
          <w:instrText xml:space="preserve">PAGE   \* MERGEFORMAT</w:instrText>
        </w:r>
        <w:r>
          <w:fldChar w:fldCharType="separate"/>
        </w:r>
        <w:r>
          <w:rPr>
            <w:lang w:val="zh-CN"/>
          </w:rPr>
          <w:t>2</w:t>
        </w:r>
        <w:r>
          <w:fldChar w:fldCharType="end"/>
        </w:r>
      </w:p>
    </w:sdtContent>
  </w:sdt>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70329A"/>
    <w:multiLevelType w:val="multilevel"/>
    <w:tmpl w:val="2070329A"/>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0A8"/>
    <w:rsid w:val="00083C05"/>
    <w:rsid w:val="000A0335"/>
    <w:rsid w:val="000A437D"/>
    <w:rsid w:val="000A4AC3"/>
    <w:rsid w:val="000A655D"/>
    <w:rsid w:val="000C1CE1"/>
    <w:rsid w:val="000D4A4A"/>
    <w:rsid w:val="00127B69"/>
    <w:rsid w:val="001657A4"/>
    <w:rsid w:val="00194EE2"/>
    <w:rsid w:val="00215F1B"/>
    <w:rsid w:val="00240C6B"/>
    <w:rsid w:val="0025571D"/>
    <w:rsid w:val="00274A78"/>
    <w:rsid w:val="0028312A"/>
    <w:rsid w:val="002845AE"/>
    <w:rsid w:val="0029054F"/>
    <w:rsid w:val="003418D1"/>
    <w:rsid w:val="00362EAD"/>
    <w:rsid w:val="00376636"/>
    <w:rsid w:val="003B3F90"/>
    <w:rsid w:val="004230FD"/>
    <w:rsid w:val="00431A46"/>
    <w:rsid w:val="00482002"/>
    <w:rsid w:val="004C7CCE"/>
    <w:rsid w:val="00536D1F"/>
    <w:rsid w:val="00553D22"/>
    <w:rsid w:val="00563951"/>
    <w:rsid w:val="00584636"/>
    <w:rsid w:val="005B409B"/>
    <w:rsid w:val="005C40A8"/>
    <w:rsid w:val="005F3871"/>
    <w:rsid w:val="00603930"/>
    <w:rsid w:val="006169C7"/>
    <w:rsid w:val="00653D0D"/>
    <w:rsid w:val="0066070A"/>
    <w:rsid w:val="00677C2D"/>
    <w:rsid w:val="00680754"/>
    <w:rsid w:val="00691E5D"/>
    <w:rsid w:val="006B3526"/>
    <w:rsid w:val="006B4793"/>
    <w:rsid w:val="006B70A8"/>
    <w:rsid w:val="00707FA6"/>
    <w:rsid w:val="007B1616"/>
    <w:rsid w:val="007B50F9"/>
    <w:rsid w:val="007B6153"/>
    <w:rsid w:val="007D0894"/>
    <w:rsid w:val="007F036A"/>
    <w:rsid w:val="0083127C"/>
    <w:rsid w:val="0084364C"/>
    <w:rsid w:val="00843783"/>
    <w:rsid w:val="00855A4A"/>
    <w:rsid w:val="008B6C8C"/>
    <w:rsid w:val="00964695"/>
    <w:rsid w:val="009B4520"/>
    <w:rsid w:val="009F32FE"/>
    <w:rsid w:val="00A051CC"/>
    <w:rsid w:val="00A20730"/>
    <w:rsid w:val="00AB6ABD"/>
    <w:rsid w:val="00AC74B4"/>
    <w:rsid w:val="00AD3F11"/>
    <w:rsid w:val="00AD7CBA"/>
    <w:rsid w:val="00AE250A"/>
    <w:rsid w:val="00B038C9"/>
    <w:rsid w:val="00B200C6"/>
    <w:rsid w:val="00B450A8"/>
    <w:rsid w:val="00BB060B"/>
    <w:rsid w:val="00BC00CF"/>
    <w:rsid w:val="00C01ECA"/>
    <w:rsid w:val="00C22A05"/>
    <w:rsid w:val="00C2569D"/>
    <w:rsid w:val="00C64A1A"/>
    <w:rsid w:val="00CC44C9"/>
    <w:rsid w:val="00CD289A"/>
    <w:rsid w:val="00D01ED3"/>
    <w:rsid w:val="00D4120C"/>
    <w:rsid w:val="00D4327E"/>
    <w:rsid w:val="00DB1DBD"/>
    <w:rsid w:val="00DB33CB"/>
    <w:rsid w:val="00DE001F"/>
    <w:rsid w:val="00E45ADA"/>
    <w:rsid w:val="00E93A92"/>
    <w:rsid w:val="00EB3832"/>
    <w:rsid w:val="00EB60A9"/>
    <w:rsid w:val="00EC2130"/>
    <w:rsid w:val="00F736CF"/>
    <w:rsid w:val="00F94631"/>
    <w:rsid w:val="00F967BF"/>
    <w:rsid w:val="00FC044B"/>
    <w:rsid w:val="00FD0052"/>
    <w:rsid w:val="58975F4E"/>
    <w:rsid w:val="7E24147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3"/>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3">
    <w:name w:val="annotation text"/>
    <w:basedOn w:val="1"/>
    <w:link w:val="17"/>
    <w:semiHidden/>
    <w:unhideWhenUsed/>
    <w:qFormat/>
    <w:uiPriority w:val="99"/>
    <w:pPr>
      <w:jc w:val="left"/>
    </w:pPr>
  </w:style>
  <w:style w:type="paragraph" w:styleId="4">
    <w:name w:val="Balloon Text"/>
    <w:basedOn w:val="1"/>
    <w:link w:val="16"/>
    <w:semiHidden/>
    <w:unhideWhenUsed/>
    <w:qFormat/>
    <w:uiPriority w:val="99"/>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8">
    <w:name w:val="annotation subject"/>
    <w:basedOn w:val="3"/>
    <w:next w:val="3"/>
    <w:link w:val="18"/>
    <w:semiHidden/>
    <w:unhideWhenUsed/>
    <w:qFormat/>
    <w:uiPriority w:val="99"/>
    <w:rPr>
      <w:b/>
      <w:bCs/>
    </w:rPr>
  </w:style>
  <w:style w:type="character" w:styleId="11">
    <w:name w:val="Strong"/>
    <w:qFormat/>
    <w:uiPriority w:val="0"/>
    <w:rPr>
      <w:rFonts w:cs="Times New Roman"/>
      <w:b/>
      <w:bCs/>
    </w:rPr>
  </w:style>
  <w:style w:type="character" w:styleId="12">
    <w:name w:val="annotation reference"/>
    <w:basedOn w:val="10"/>
    <w:semiHidden/>
    <w:unhideWhenUsed/>
    <w:qFormat/>
    <w:uiPriority w:val="99"/>
    <w:rPr>
      <w:sz w:val="21"/>
      <w:szCs w:val="21"/>
    </w:rPr>
  </w:style>
  <w:style w:type="character" w:customStyle="1" w:styleId="13">
    <w:name w:val="标题 1 Char"/>
    <w:basedOn w:val="10"/>
    <w:link w:val="2"/>
    <w:qFormat/>
    <w:uiPriority w:val="9"/>
    <w:rPr>
      <w:b/>
      <w:bCs/>
      <w:kern w:val="44"/>
      <w:sz w:val="44"/>
      <w:szCs w:val="44"/>
    </w:rPr>
  </w:style>
  <w:style w:type="character" w:customStyle="1" w:styleId="14">
    <w:name w:val="页眉 Char"/>
    <w:basedOn w:val="10"/>
    <w:link w:val="6"/>
    <w:qFormat/>
    <w:uiPriority w:val="99"/>
    <w:rPr>
      <w:sz w:val="18"/>
      <w:szCs w:val="18"/>
    </w:rPr>
  </w:style>
  <w:style w:type="character" w:customStyle="1" w:styleId="15">
    <w:name w:val="页脚 Char"/>
    <w:basedOn w:val="10"/>
    <w:link w:val="5"/>
    <w:qFormat/>
    <w:uiPriority w:val="99"/>
    <w:rPr>
      <w:sz w:val="18"/>
      <w:szCs w:val="18"/>
    </w:rPr>
  </w:style>
  <w:style w:type="character" w:customStyle="1" w:styleId="16">
    <w:name w:val="批注框文本 Char"/>
    <w:basedOn w:val="10"/>
    <w:link w:val="4"/>
    <w:semiHidden/>
    <w:qFormat/>
    <w:uiPriority w:val="99"/>
    <w:rPr>
      <w:sz w:val="18"/>
      <w:szCs w:val="18"/>
    </w:rPr>
  </w:style>
  <w:style w:type="character" w:customStyle="1" w:styleId="17">
    <w:name w:val="批注文字 Char"/>
    <w:basedOn w:val="10"/>
    <w:link w:val="3"/>
    <w:semiHidden/>
    <w:qFormat/>
    <w:uiPriority w:val="99"/>
  </w:style>
  <w:style w:type="character" w:customStyle="1" w:styleId="18">
    <w:name w:val="批注主题 Char"/>
    <w:basedOn w:val="17"/>
    <w:link w:val="8"/>
    <w:semiHidden/>
    <w:qFormat/>
    <w:uiPriority w:val="99"/>
    <w:rPr>
      <w:b/>
      <w:bCs/>
    </w:rPr>
  </w:style>
  <w:style w:type="paragraph" w:styleId="1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91A47B5-2499-4D66-90E7-47BA37FBD970}">
  <ds:schemaRefs/>
</ds:datastoreItem>
</file>

<file path=docProps/app.xml><?xml version="1.0" encoding="utf-8"?>
<Properties xmlns="http://schemas.openxmlformats.org/officeDocument/2006/extended-properties" xmlns:vt="http://schemas.openxmlformats.org/officeDocument/2006/docPropsVTypes">
  <Template>Normal</Template>
  <Pages>5</Pages>
  <Words>339</Words>
  <Characters>1936</Characters>
  <Lines>16</Lines>
  <Paragraphs>4</Paragraphs>
  <TotalTime>0</TotalTime>
  <ScaleCrop>false</ScaleCrop>
  <LinksUpToDate>false</LinksUpToDate>
  <CharactersWithSpaces>2271</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2021-12-31T01:57:00Z</dcterms:created>
  <dc:creator>user</dc:creator>
  <cp:lastModifiedBy>望溪</cp:lastModifiedBy>
  <cp:lastPrinted>2021-12-31T01:56:00Z</cp:lastPrinted>
  <dcterms:modified xsi:type="dcterms:W3CDTF">2021-12-31T08:50:21Z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F4DFB01761874600B0484C188C69D35D</vt:lpwstr>
  </property>
</Properties>
</file>